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C1" w:rsidRPr="00706F9E" w:rsidRDefault="00B07221" w:rsidP="00AF5DA5">
      <w:pPr>
        <w:spacing w:after="0" w:line="240" w:lineRule="auto"/>
        <w:ind w:left="7200" w:right="4" w:firstLine="720"/>
        <w:jc w:val="right"/>
        <w:rPr>
          <w:rFonts w:cstheme="minorHAnsi"/>
          <w:b/>
          <w:sz w:val="18"/>
          <w:szCs w:val="18"/>
        </w:rPr>
      </w:pPr>
      <w:r w:rsidRPr="00834AF4">
        <w:rPr>
          <w:rFonts w:cstheme="minorHAnsi"/>
          <w:b/>
          <w:sz w:val="18"/>
          <w:szCs w:val="18"/>
        </w:rPr>
        <w:t xml:space="preserve">        </w:t>
      </w:r>
      <w:r w:rsidR="00B97A15" w:rsidRPr="00834AF4">
        <w:rPr>
          <w:rFonts w:cstheme="minorHAnsi"/>
          <w:b/>
          <w:sz w:val="18"/>
          <w:szCs w:val="18"/>
        </w:rPr>
        <w:t xml:space="preserve">  </w:t>
      </w:r>
      <w:r w:rsidR="00A76346" w:rsidRPr="00706F9E">
        <w:rPr>
          <w:rFonts w:cstheme="minorHAnsi"/>
          <w:b/>
          <w:sz w:val="18"/>
          <w:szCs w:val="18"/>
        </w:rPr>
        <w:t>Annexure I</w:t>
      </w:r>
    </w:p>
    <w:p w:rsidR="007B639E" w:rsidRPr="00706F9E" w:rsidRDefault="007B639E" w:rsidP="001D24A9">
      <w:pPr>
        <w:pStyle w:val="05FormNumber"/>
        <w:spacing w:before="0" w:after="0"/>
        <w:ind w:right="4"/>
        <w:rPr>
          <w:rFonts w:asciiTheme="minorHAnsi" w:hAnsiTheme="minorHAnsi" w:cstheme="minorHAnsi"/>
          <w:sz w:val="18"/>
          <w:szCs w:val="18"/>
        </w:rPr>
      </w:pPr>
    </w:p>
    <w:p w:rsidR="00A76346" w:rsidRPr="00706F9E" w:rsidRDefault="00A76346" w:rsidP="001D24A9">
      <w:pPr>
        <w:pStyle w:val="05FormNumber"/>
        <w:spacing w:before="0" w:after="0"/>
        <w:ind w:right="4"/>
        <w:rPr>
          <w:rStyle w:val="06FormNumberforHeader"/>
          <w:rFonts w:asciiTheme="minorHAnsi" w:hAnsiTheme="minorHAnsi" w:cstheme="minorHAnsi"/>
          <w:sz w:val="18"/>
          <w:szCs w:val="18"/>
        </w:rPr>
      </w:pPr>
      <w:r w:rsidRPr="00706F9E">
        <w:rPr>
          <w:rFonts w:asciiTheme="minorHAnsi" w:hAnsiTheme="minorHAnsi" w:cstheme="minorHAnsi"/>
          <w:sz w:val="18"/>
          <w:szCs w:val="18"/>
        </w:rPr>
        <w:t xml:space="preserve">FORM NO. </w:t>
      </w:r>
      <w:r w:rsidRPr="00706F9E">
        <w:rPr>
          <w:rStyle w:val="06FormNumberforHeader"/>
          <w:rFonts w:asciiTheme="minorHAnsi" w:hAnsiTheme="minorHAnsi" w:cstheme="minorHAnsi"/>
          <w:sz w:val="18"/>
          <w:szCs w:val="18"/>
        </w:rPr>
        <w:t>MGT.9</w:t>
      </w:r>
    </w:p>
    <w:p w:rsidR="00A76346" w:rsidRPr="00706F9E" w:rsidRDefault="00A76346" w:rsidP="001D24A9">
      <w:pPr>
        <w:pStyle w:val="TableParagraph"/>
        <w:tabs>
          <w:tab w:val="left" w:pos="4321"/>
        </w:tabs>
        <w:kinsoku w:val="0"/>
        <w:overflowPunct w:val="0"/>
        <w:ind w:right="4"/>
        <w:jc w:val="center"/>
        <w:rPr>
          <w:rFonts w:asciiTheme="minorHAnsi" w:hAnsiTheme="minorHAnsi" w:cstheme="minorHAnsi"/>
          <w:b/>
          <w:bCs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bCs/>
          <w:color w:val="231F20"/>
          <w:sz w:val="18"/>
          <w:szCs w:val="18"/>
        </w:rPr>
        <w:t>EXTRACT OF ANNUAL RETURN</w:t>
      </w:r>
    </w:p>
    <w:p w:rsidR="00A76346" w:rsidRPr="00706F9E" w:rsidRDefault="00361632" w:rsidP="001D24A9">
      <w:pPr>
        <w:pStyle w:val="TableParagraph"/>
        <w:tabs>
          <w:tab w:val="left" w:pos="4321"/>
        </w:tabs>
        <w:kinsoku w:val="0"/>
        <w:overflowPunct w:val="0"/>
        <w:ind w:right="4"/>
        <w:jc w:val="center"/>
        <w:rPr>
          <w:rFonts w:asciiTheme="minorHAnsi" w:hAnsiTheme="minorHAnsi" w:cstheme="minorHAnsi"/>
          <w:b/>
          <w:bCs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bCs/>
          <w:color w:val="231F20"/>
          <w:sz w:val="18"/>
          <w:szCs w:val="18"/>
        </w:rPr>
        <w:t>As</w:t>
      </w:r>
      <w:r w:rsidR="00A76346" w:rsidRPr="00706F9E">
        <w:rPr>
          <w:rFonts w:asciiTheme="minorHAnsi" w:hAnsiTheme="minorHAnsi" w:cstheme="minorHAnsi"/>
          <w:b/>
          <w:bCs/>
          <w:color w:val="231F20"/>
          <w:sz w:val="18"/>
          <w:szCs w:val="18"/>
        </w:rPr>
        <w:t xml:space="preserve"> on the financial year ended on </w:t>
      </w:r>
      <w:r w:rsidR="00E5146D" w:rsidRPr="00706F9E">
        <w:rPr>
          <w:rFonts w:asciiTheme="minorHAnsi" w:hAnsiTheme="minorHAnsi" w:cstheme="minorHAnsi"/>
          <w:b/>
          <w:bCs/>
          <w:color w:val="231F20"/>
          <w:sz w:val="18"/>
          <w:szCs w:val="18"/>
        </w:rPr>
        <w:t>March 31, 201</w:t>
      </w:r>
      <w:r w:rsidR="00012B41" w:rsidRPr="00706F9E">
        <w:rPr>
          <w:rFonts w:asciiTheme="minorHAnsi" w:hAnsiTheme="minorHAnsi" w:cstheme="minorHAnsi"/>
          <w:b/>
          <w:bCs/>
          <w:color w:val="231F20"/>
          <w:sz w:val="18"/>
          <w:szCs w:val="18"/>
        </w:rPr>
        <w:t>9</w:t>
      </w:r>
    </w:p>
    <w:p w:rsidR="00A76346" w:rsidRPr="00706F9E" w:rsidRDefault="00A76346" w:rsidP="001D24A9">
      <w:pPr>
        <w:pStyle w:val="TableParagraph"/>
        <w:tabs>
          <w:tab w:val="left" w:pos="4321"/>
        </w:tabs>
        <w:kinsoku w:val="0"/>
        <w:overflowPunct w:val="0"/>
        <w:ind w:right="4"/>
        <w:jc w:val="center"/>
        <w:rPr>
          <w:rFonts w:asciiTheme="minorHAnsi" w:hAnsiTheme="minorHAnsi" w:cstheme="minorHAnsi"/>
          <w:bCs/>
          <w:i/>
          <w:iCs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Cs/>
          <w:i/>
          <w:iCs/>
          <w:color w:val="231F20"/>
          <w:sz w:val="18"/>
          <w:szCs w:val="18"/>
        </w:rPr>
        <w:t>[Pursuant to section 92(3) of the Companies Act, 2013 and rule 12(1) of the Companies (Management and Administration) Rules, 2014]</w:t>
      </w:r>
    </w:p>
    <w:p w:rsidR="00A76346" w:rsidRPr="00706F9E" w:rsidRDefault="00A76346" w:rsidP="0012439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5146D" w:rsidRPr="00706F9E" w:rsidRDefault="00E5146D" w:rsidP="0012439B">
      <w:pPr>
        <w:pStyle w:val="TableParagraph"/>
        <w:widowControl/>
        <w:numPr>
          <w:ilvl w:val="0"/>
          <w:numId w:val="3"/>
        </w:numPr>
        <w:kinsoku w:val="0"/>
        <w:overflowPunct w:val="0"/>
        <w:ind w:left="426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REGISTRATION AND OTHER DETAILS:</w:t>
      </w:r>
    </w:p>
    <w:p w:rsidR="00E5146D" w:rsidRPr="00706F9E" w:rsidRDefault="00E5146D" w:rsidP="0012439B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4888" w:type="pct"/>
        <w:tblInd w:w="108" w:type="dxa"/>
        <w:tblLook w:val="04A0"/>
      </w:tblPr>
      <w:tblGrid>
        <w:gridCol w:w="5495"/>
        <w:gridCol w:w="4570"/>
      </w:tblGrid>
      <w:tr w:rsidR="00E5146D" w:rsidRPr="00706F9E" w:rsidTr="00E573A7">
        <w:tc>
          <w:tcPr>
            <w:tcW w:w="2730" w:type="pct"/>
            <w:shd w:val="clear" w:color="auto" w:fill="D9D9D9" w:themeFill="background1" w:themeFillShade="D9"/>
          </w:tcPr>
          <w:p w:rsidR="00E5146D" w:rsidRPr="00706F9E" w:rsidRDefault="00394464" w:rsidP="0012439B">
            <w:pPr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CIN</w:t>
            </w:r>
          </w:p>
        </w:tc>
        <w:tc>
          <w:tcPr>
            <w:tcW w:w="2270" w:type="pct"/>
          </w:tcPr>
          <w:p w:rsidR="00E5146D" w:rsidRPr="00706F9E" w:rsidRDefault="00803EAA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U67190MH2014PTC256524</w:t>
            </w:r>
          </w:p>
        </w:tc>
      </w:tr>
      <w:tr w:rsidR="00394464" w:rsidRPr="00706F9E" w:rsidTr="00E573A7">
        <w:tc>
          <w:tcPr>
            <w:tcW w:w="2730" w:type="pct"/>
            <w:shd w:val="clear" w:color="auto" w:fill="D9D9D9" w:themeFill="background1" w:themeFillShade="D9"/>
          </w:tcPr>
          <w:p w:rsidR="00394464" w:rsidRPr="00706F9E" w:rsidRDefault="00394464" w:rsidP="0012439B">
            <w:pPr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Registration Date</w:t>
            </w:r>
          </w:p>
        </w:tc>
        <w:tc>
          <w:tcPr>
            <w:tcW w:w="2270" w:type="pct"/>
          </w:tcPr>
          <w:p w:rsidR="00394464" w:rsidRPr="00706F9E" w:rsidRDefault="00803EAA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24/07/2014</w:t>
            </w:r>
          </w:p>
        </w:tc>
      </w:tr>
      <w:tr w:rsidR="00394464" w:rsidRPr="00706F9E" w:rsidTr="00E573A7">
        <w:tc>
          <w:tcPr>
            <w:tcW w:w="2730" w:type="pct"/>
            <w:shd w:val="clear" w:color="auto" w:fill="D9D9D9" w:themeFill="background1" w:themeFillShade="D9"/>
          </w:tcPr>
          <w:p w:rsidR="00394464" w:rsidRPr="00706F9E" w:rsidRDefault="00394464" w:rsidP="0012439B">
            <w:pPr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Name of the Company</w:t>
            </w:r>
          </w:p>
        </w:tc>
        <w:tc>
          <w:tcPr>
            <w:tcW w:w="2270" w:type="pct"/>
          </w:tcPr>
          <w:p w:rsidR="00394464" w:rsidRPr="00706F9E" w:rsidRDefault="00803EAA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Opulent Investment Adviser Private Limited</w:t>
            </w:r>
          </w:p>
        </w:tc>
      </w:tr>
      <w:tr w:rsidR="00394464" w:rsidRPr="00706F9E" w:rsidTr="00E573A7">
        <w:tc>
          <w:tcPr>
            <w:tcW w:w="2730" w:type="pct"/>
            <w:shd w:val="clear" w:color="auto" w:fill="D9D9D9" w:themeFill="background1" w:themeFillShade="D9"/>
          </w:tcPr>
          <w:p w:rsidR="00394464" w:rsidRPr="00706F9E" w:rsidRDefault="00394464" w:rsidP="0012439B">
            <w:pPr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Category / Sub-Category of the Company</w:t>
            </w:r>
          </w:p>
        </w:tc>
        <w:tc>
          <w:tcPr>
            <w:tcW w:w="2270" w:type="pct"/>
          </w:tcPr>
          <w:p w:rsidR="00394464" w:rsidRPr="00706F9E" w:rsidRDefault="00394464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Company limited by shares / Indian Non-Government Company</w:t>
            </w:r>
          </w:p>
        </w:tc>
      </w:tr>
      <w:tr w:rsidR="00394464" w:rsidRPr="00706F9E" w:rsidTr="00E573A7">
        <w:tc>
          <w:tcPr>
            <w:tcW w:w="2730" w:type="pct"/>
            <w:shd w:val="clear" w:color="auto" w:fill="D9D9D9" w:themeFill="background1" w:themeFillShade="D9"/>
          </w:tcPr>
          <w:p w:rsidR="00394464" w:rsidRPr="00706F9E" w:rsidRDefault="00394464" w:rsidP="0012439B">
            <w:pPr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Address of the Registered office and contact details</w:t>
            </w:r>
          </w:p>
        </w:tc>
        <w:tc>
          <w:tcPr>
            <w:tcW w:w="2270" w:type="pct"/>
          </w:tcPr>
          <w:p w:rsidR="00D13671" w:rsidRPr="00706F9E" w:rsidRDefault="00B14D13" w:rsidP="00B14D13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113, Floor-11, Plot-226, Bajaj Bhavan, Barrister Rajani Patel Marg, Nariman Point, Mumbai- 400021</w:t>
            </w:r>
            <w:r w:rsidR="00803EAA" w:rsidRPr="00706F9E">
              <w:rPr>
                <w:rFonts w:cstheme="minorHAnsi"/>
                <w:color w:val="231F20"/>
                <w:sz w:val="18"/>
                <w:szCs w:val="18"/>
              </w:rPr>
              <w:t xml:space="preserve">I </w:t>
            </w:r>
          </w:p>
          <w:p w:rsidR="00092050" w:rsidRPr="00706F9E" w:rsidRDefault="00803EAA" w:rsidP="00B14D13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Tel: +91 22 66</w:t>
            </w:r>
            <w:r w:rsidR="00D13671" w:rsidRPr="00706F9E">
              <w:rPr>
                <w:rFonts w:cstheme="minorHAnsi"/>
                <w:color w:val="231F20"/>
                <w:sz w:val="18"/>
                <w:szCs w:val="18"/>
              </w:rPr>
              <w:t>393000</w:t>
            </w:r>
          </w:p>
          <w:p w:rsidR="00FE2FC3" w:rsidRPr="00706F9E" w:rsidRDefault="00803EAA" w:rsidP="00092050">
            <w:pPr>
              <w:rPr>
                <w:rFonts w:cstheme="minorHAnsi"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email: research@stockaxis.com</w:t>
            </w:r>
            <w:r w:rsidR="00980829" w:rsidRPr="00706F9E">
              <w:rPr>
                <w:rFonts w:cstheme="minorHAnsi"/>
                <w:color w:val="231F20"/>
                <w:sz w:val="18"/>
                <w:szCs w:val="18"/>
              </w:rPr>
              <w:t xml:space="preserve"> I www.stockaxis.com</w:t>
            </w:r>
          </w:p>
        </w:tc>
      </w:tr>
      <w:tr w:rsidR="00394464" w:rsidRPr="00706F9E" w:rsidTr="00E573A7">
        <w:tc>
          <w:tcPr>
            <w:tcW w:w="2730" w:type="pct"/>
            <w:shd w:val="clear" w:color="auto" w:fill="D9D9D9" w:themeFill="background1" w:themeFillShade="D9"/>
          </w:tcPr>
          <w:p w:rsidR="00394464" w:rsidRPr="00706F9E" w:rsidRDefault="00394464" w:rsidP="0012439B">
            <w:pPr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Whether listed company Yes / No</w:t>
            </w:r>
          </w:p>
        </w:tc>
        <w:tc>
          <w:tcPr>
            <w:tcW w:w="2270" w:type="pct"/>
          </w:tcPr>
          <w:p w:rsidR="00394464" w:rsidRPr="00706F9E" w:rsidRDefault="00FE2FC3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No</w:t>
            </w:r>
          </w:p>
        </w:tc>
      </w:tr>
      <w:tr w:rsidR="00394464" w:rsidRPr="00706F9E" w:rsidTr="00E573A7">
        <w:tc>
          <w:tcPr>
            <w:tcW w:w="2730" w:type="pct"/>
            <w:shd w:val="clear" w:color="auto" w:fill="D9D9D9" w:themeFill="background1" w:themeFillShade="D9"/>
          </w:tcPr>
          <w:p w:rsidR="00394464" w:rsidRPr="00706F9E" w:rsidRDefault="00394464" w:rsidP="0012439B">
            <w:pPr>
              <w:jc w:val="both"/>
              <w:rPr>
                <w:rFonts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Name, Address and Contact details of Registrar and Transfer Agent, if any</w:t>
            </w:r>
          </w:p>
        </w:tc>
        <w:tc>
          <w:tcPr>
            <w:tcW w:w="2270" w:type="pct"/>
          </w:tcPr>
          <w:p w:rsidR="00394464" w:rsidRPr="00706F9E" w:rsidRDefault="00FE2FC3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Not applicable</w:t>
            </w:r>
          </w:p>
        </w:tc>
      </w:tr>
    </w:tbl>
    <w:p w:rsidR="003E1F05" w:rsidRPr="00706F9E" w:rsidRDefault="003E1F05" w:rsidP="0012439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E2FC3" w:rsidRPr="00706F9E" w:rsidRDefault="00FE2FC3" w:rsidP="0012439B">
      <w:pPr>
        <w:pStyle w:val="TableParagraph"/>
        <w:widowControl/>
        <w:numPr>
          <w:ilvl w:val="0"/>
          <w:numId w:val="3"/>
        </w:numPr>
        <w:kinsoku w:val="0"/>
        <w:overflowPunct w:val="0"/>
        <w:ind w:left="426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PRINCIPAL BUSINESS ACTIVITIES OF THE COMPANY</w:t>
      </w:r>
      <w:r w:rsidR="002A7495" w:rsidRPr="00706F9E">
        <w:rPr>
          <w:rFonts w:asciiTheme="minorHAnsi" w:hAnsiTheme="minorHAnsi" w:cstheme="minorHAnsi"/>
          <w:b/>
          <w:color w:val="231F20"/>
          <w:sz w:val="18"/>
          <w:szCs w:val="18"/>
        </w:rPr>
        <w:t>:</w:t>
      </w:r>
    </w:p>
    <w:p w:rsidR="00FE2FC3" w:rsidRPr="00706F9E" w:rsidRDefault="00FE2FC3" w:rsidP="0012439B">
      <w:pPr>
        <w:pStyle w:val="TableParagraph"/>
        <w:widowControl/>
        <w:kinsoku w:val="0"/>
        <w:overflowPunct w:val="0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FE2FC3" w:rsidRPr="00706F9E" w:rsidRDefault="00FE2FC3" w:rsidP="0012439B">
      <w:pPr>
        <w:pStyle w:val="TableParagraph"/>
        <w:widowControl/>
        <w:kinsoku w:val="0"/>
        <w:overflowPunct w:val="0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color w:val="231F20"/>
          <w:sz w:val="18"/>
          <w:szCs w:val="18"/>
        </w:rPr>
        <w:t xml:space="preserve">All the business activities contributing 10 % or more of the total turnover </w:t>
      </w:r>
      <w:r w:rsidR="00F91228" w:rsidRPr="00706F9E">
        <w:rPr>
          <w:rFonts w:asciiTheme="minorHAnsi" w:hAnsiTheme="minorHAnsi" w:cstheme="minorHAnsi"/>
          <w:color w:val="231F20"/>
          <w:sz w:val="18"/>
          <w:szCs w:val="18"/>
        </w:rPr>
        <w:t>of the company shall be stated:</w:t>
      </w:r>
    </w:p>
    <w:p w:rsidR="00FE2FC3" w:rsidRPr="00706F9E" w:rsidRDefault="00FE2FC3" w:rsidP="0012439B">
      <w:pPr>
        <w:pStyle w:val="TableParagraph"/>
        <w:widowControl/>
        <w:kinsoku w:val="0"/>
        <w:overflowPunct w:val="0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1"/>
        <w:gridCol w:w="3633"/>
        <w:gridCol w:w="2726"/>
        <w:gridCol w:w="2905"/>
      </w:tblGrid>
      <w:tr w:rsidR="00FE2FC3" w:rsidRPr="00706F9E" w:rsidTr="00E573A7">
        <w:tc>
          <w:tcPr>
            <w:tcW w:w="398" w:type="pct"/>
            <w:tcBorders>
              <w:bottom w:val="single" w:sz="4" w:space="0" w:color="000000"/>
            </w:tcBorders>
            <w:shd w:val="clear" w:color="auto" w:fill="D9D9D9"/>
          </w:tcPr>
          <w:p w:rsidR="00FE2FC3" w:rsidRPr="00706F9E" w:rsidRDefault="00FE2FC3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Sl. No.</w:t>
            </w:r>
          </w:p>
        </w:tc>
        <w:tc>
          <w:tcPr>
            <w:tcW w:w="1805" w:type="pct"/>
            <w:tcBorders>
              <w:bottom w:val="single" w:sz="4" w:space="0" w:color="000000"/>
            </w:tcBorders>
            <w:shd w:val="clear" w:color="auto" w:fill="D9D9D9"/>
          </w:tcPr>
          <w:p w:rsidR="00FE2FC3" w:rsidRPr="00706F9E" w:rsidRDefault="00FE2FC3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Name and Description of main products/ services</w:t>
            </w:r>
          </w:p>
        </w:tc>
        <w:tc>
          <w:tcPr>
            <w:tcW w:w="1354" w:type="pct"/>
            <w:tcBorders>
              <w:bottom w:val="single" w:sz="4" w:space="0" w:color="000000"/>
            </w:tcBorders>
            <w:shd w:val="clear" w:color="auto" w:fill="D9D9D9"/>
          </w:tcPr>
          <w:p w:rsidR="00FE2FC3" w:rsidRPr="00706F9E" w:rsidRDefault="00FE2FC3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NIC Code of the Product/ service</w:t>
            </w:r>
          </w:p>
        </w:tc>
        <w:tc>
          <w:tcPr>
            <w:tcW w:w="1444" w:type="pct"/>
            <w:tcBorders>
              <w:bottom w:val="single" w:sz="4" w:space="0" w:color="000000"/>
            </w:tcBorders>
            <w:shd w:val="clear" w:color="auto" w:fill="D9D9D9"/>
          </w:tcPr>
          <w:p w:rsidR="00FE2FC3" w:rsidRPr="00706F9E" w:rsidRDefault="00FE2FC3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 to total turnover of the</w:t>
            </w:r>
          </w:p>
          <w:p w:rsidR="00FE2FC3" w:rsidRPr="00706F9E" w:rsidRDefault="00FE2FC3" w:rsidP="00E573A7">
            <w:pPr>
              <w:pStyle w:val="TableParagraph"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Company</w:t>
            </w:r>
          </w:p>
        </w:tc>
      </w:tr>
      <w:tr w:rsidR="00FE2FC3" w:rsidRPr="00706F9E" w:rsidTr="00E573A7">
        <w:trPr>
          <w:trHeight w:val="236"/>
        </w:trPr>
        <w:tc>
          <w:tcPr>
            <w:tcW w:w="398" w:type="pct"/>
            <w:shd w:val="clear" w:color="auto" w:fill="auto"/>
          </w:tcPr>
          <w:p w:rsidR="00FE2FC3" w:rsidRPr="00706F9E" w:rsidRDefault="00FE2FC3" w:rsidP="0012439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05" w:type="pct"/>
            <w:shd w:val="clear" w:color="auto" w:fill="auto"/>
          </w:tcPr>
          <w:p w:rsidR="00FE2FC3" w:rsidRPr="00706F9E" w:rsidRDefault="00F83A74" w:rsidP="0012439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Investment Advisors</w:t>
            </w:r>
          </w:p>
        </w:tc>
        <w:tc>
          <w:tcPr>
            <w:tcW w:w="1354" w:type="pct"/>
            <w:shd w:val="clear" w:color="auto" w:fill="auto"/>
          </w:tcPr>
          <w:p w:rsidR="00FE2FC3" w:rsidRPr="00706F9E" w:rsidRDefault="00F83A74" w:rsidP="0012439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6619</w:t>
            </w:r>
            <w:r w:rsidR="006A3567" w:rsidRPr="00706F9E">
              <w:rPr>
                <w:rFonts w:cstheme="minorHAnsi"/>
                <w:sz w:val="18"/>
                <w:szCs w:val="18"/>
              </w:rPr>
              <w:t xml:space="preserve"> (</w:t>
            </w:r>
            <w:r w:rsidR="006A3567" w:rsidRPr="00706F9E">
              <w:rPr>
                <w:rFonts w:cstheme="minorHAnsi"/>
                <w:color w:val="231F20"/>
                <w:sz w:val="18"/>
                <w:szCs w:val="18"/>
              </w:rPr>
              <w:t>as per NIC 2008)</w:t>
            </w:r>
          </w:p>
        </w:tc>
        <w:tc>
          <w:tcPr>
            <w:tcW w:w="1444" w:type="pct"/>
            <w:shd w:val="clear" w:color="auto" w:fill="auto"/>
          </w:tcPr>
          <w:p w:rsidR="00FE2FC3" w:rsidRPr="00706F9E" w:rsidRDefault="008B1412" w:rsidP="00CF483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100</w:t>
            </w:r>
          </w:p>
        </w:tc>
      </w:tr>
    </w:tbl>
    <w:p w:rsidR="006A3567" w:rsidRPr="00706F9E" w:rsidRDefault="006A3567" w:rsidP="0012439B">
      <w:pPr>
        <w:spacing w:after="0" w:line="240" w:lineRule="auto"/>
        <w:jc w:val="both"/>
        <w:rPr>
          <w:rFonts w:cstheme="minorHAnsi"/>
          <w:color w:val="231F20"/>
          <w:sz w:val="18"/>
          <w:szCs w:val="18"/>
          <w:lang w:val="en-IN"/>
        </w:rPr>
      </w:pPr>
    </w:p>
    <w:p w:rsidR="002A7495" w:rsidRPr="00706F9E" w:rsidRDefault="002A7495" w:rsidP="0012439B">
      <w:pPr>
        <w:pStyle w:val="TableParagraph"/>
        <w:widowControl/>
        <w:numPr>
          <w:ilvl w:val="0"/>
          <w:numId w:val="3"/>
        </w:numPr>
        <w:kinsoku w:val="0"/>
        <w:overflowPunct w:val="0"/>
        <w:ind w:left="426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PARTICULARS OF HOLDING, SUBSIDIARY AND ASSOCIATE COMPANIES:</w:t>
      </w:r>
    </w:p>
    <w:p w:rsidR="002A7495" w:rsidRPr="00706F9E" w:rsidRDefault="002A7495" w:rsidP="0012439B">
      <w:pPr>
        <w:pStyle w:val="TableParagraph"/>
        <w:widowControl/>
        <w:kinsoku w:val="0"/>
        <w:overflowPunct w:val="0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E573A7" w:rsidRPr="0058414D" w:rsidRDefault="00E573A7" w:rsidP="00E573A7">
      <w:pPr>
        <w:pStyle w:val="TableParagraph"/>
        <w:widowControl/>
        <w:tabs>
          <w:tab w:val="left" w:pos="426"/>
        </w:tabs>
        <w:kinsoku w:val="0"/>
        <w:overflowPunct w:val="0"/>
        <w:jc w:val="both"/>
        <w:outlineLvl w:val="7"/>
        <w:rPr>
          <w:rFonts w:asciiTheme="minorHAnsi" w:hAnsiTheme="minorHAnsi" w:cs="Calibri"/>
          <w:color w:val="231F20"/>
          <w:sz w:val="20"/>
          <w:szCs w:val="20"/>
        </w:rPr>
      </w:pPr>
      <w:r w:rsidRPr="0058414D">
        <w:rPr>
          <w:rFonts w:asciiTheme="minorHAnsi" w:hAnsiTheme="minorHAnsi" w:cs="Calibri"/>
          <w:color w:val="231F20"/>
          <w:sz w:val="20"/>
          <w:szCs w:val="20"/>
        </w:rPr>
        <w:t xml:space="preserve">The Company </w:t>
      </w:r>
      <w:r>
        <w:rPr>
          <w:rFonts w:asciiTheme="minorHAnsi" w:hAnsiTheme="minorHAnsi" w:cs="Calibri"/>
          <w:color w:val="231F20"/>
          <w:sz w:val="20"/>
          <w:szCs w:val="20"/>
        </w:rPr>
        <w:t>does not have any h</w:t>
      </w:r>
      <w:r w:rsidRPr="0058414D">
        <w:rPr>
          <w:rFonts w:asciiTheme="minorHAnsi" w:hAnsiTheme="minorHAnsi" w:cs="Calibri"/>
          <w:color w:val="231F20"/>
          <w:sz w:val="20"/>
          <w:szCs w:val="20"/>
        </w:rPr>
        <w:t xml:space="preserve">olding, </w:t>
      </w:r>
      <w:r>
        <w:rPr>
          <w:rFonts w:asciiTheme="minorHAnsi" w:hAnsiTheme="minorHAnsi" w:cs="Calibri"/>
          <w:color w:val="231F20"/>
          <w:sz w:val="20"/>
          <w:szCs w:val="20"/>
        </w:rPr>
        <w:t>s</w:t>
      </w:r>
      <w:r w:rsidRPr="0058414D">
        <w:rPr>
          <w:rFonts w:asciiTheme="minorHAnsi" w:hAnsiTheme="minorHAnsi" w:cs="Calibri"/>
          <w:color w:val="231F20"/>
          <w:sz w:val="20"/>
          <w:szCs w:val="20"/>
        </w:rPr>
        <w:t xml:space="preserve">ubsidiary </w:t>
      </w:r>
      <w:r>
        <w:rPr>
          <w:rFonts w:asciiTheme="minorHAnsi" w:hAnsiTheme="minorHAnsi" w:cs="Calibri"/>
          <w:color w:val="231F20"/>
          <w:sz w:val="20"/>
          <w:szCs w:val="20"/>
        </w:rPr>
        <w:t>and a</w:t>
      </w:r>
      <w:r w:rsidRPr="0058414D">
        <w:rPr>
          <w:rFonts w:asciiTheme="minorHAnsi" w:hAnsiTheme="minorHAnsi" w:cs="Calibri"/>
          <w:color w:val="231F20"/>
          <w:sz w:val="20"/>
          <w:szCs w:val="20"/>
        </w:rPr>
        <w:t>ssociate Companies.</w:t>
      </w:r>
    </w:p>
    <w:p w:rsidR="002A7495" w:rsidRPr="00706F9E" w:rsidRDefault="002A7495" w:rsidP="0012439B">
      <w:pPr>
        <w:pStyle w:val="TableParagraph"/>
        <w:widowControl/>
        <w:kinsoku w:val="0"/>
        <w:overflowPunct w:val="0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2A7495" w:rsidRPr="00706F9E" w:rsidRDefault="002A7495" w:rsidP="0012439B">
      <w:pPr>
        <w:pStyle w:val="TableParagraph"/>
        <w:widowControl/>
        <w:numPr>
          <w:ilvl w:val="0"/>
          <w:numId w:val="3"/>
        </w:numPr>
        <w:kinsoku w:val="0"/>
        <w:overflowPunct w:val="0"/>
        <w:ind w:left="426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SHARE HOLDING PATTERN (Equity Share Capital Breakup as percentage of Total Equity)</w:t>
      </w:r>
    </w:p>
    <w:p w:rsidR="002A7495" w:rsidRPr="00706F9E" w:rsidRDefault="002A7495" w:rsidP="0012439B">
      <w:pPr>
        <w:pStyle w:val="TableParagraph"/>
        <w:widowControl/>
        <w:kinsoku w:val="0"/>
        <w:overflowPunct w:val="0"/>
        <w:ind w:left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2A7495" w:rsidRPr="00706F9E" w:rsidRDefault="002A7495" w:rsidP="0012439B">
      <w:pPr>
        <w:pStyle w:val="TableParagraph"/>
        <w:widowControl/>
        <w:numPr>
          <w:ilvl w:val="0"/>
          <w:numId w:val="5"/>
        </w:numPr>
        <w:kinsoku w:val="0"/>
        <w:overflowPunct w:val="0"/>
        <w:ind w:left="567" w:hanging="567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Category-wise Share Holding</w:t>
      </w:r>
    </w:p>
    <w:p w:rsidR="001C6ED6" w:rsidRPr="00706F9E" w:rsidRDefault="001C6ED6" w:rsidP="0012439B">
      <w:pPr>
        <w:pStyle w:val="TableParagraph"/>
        <w:widowControl/>
        <w:kinsoku w:val="0"/>
        <w:overflowPunct w:val="0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tbl>
      <w:tblPr>
        <w:tblStyle w:val="TableGrid"/>
        <w:tblW w:w="4888" w:type="pct"/>
        <w:tblInd w:w="108" w:type="dxa"/>
        <w:shd w:val="clear" w:color="auto" w:fill="D9D9D9" w:themeFill="background1" w:themeFillShade="D9"/>
        <w:tblLook w:val="04A0"/>
      </w:tblPr>
      <w:tblGrid>
        <w:gridCol w:w="2712"/>
        <w:gridCol w:w="622"/>
        <w:gridCol w:w="835"/>
        <w:gridCol w:w="779"/>
        <w:gridCol w:w="900"/>
        <w:gridCol w:w="618"/>
        <w:gridCol w:w="827"/>
        <w:gridCol w:w="773"/>
        <w:gridCol w:w="882"/>
        <w:gridCol w:w="1117"/>
      </w:tblGrid>
      <w:tr w:rsidR="001C6ED6" w:rsidRPr="00706F9E" w:rsidTr="00E573A7">
        <w:tc>
          <w:tcPr>
            <w:tcW w:w="1347" w:type="pct"/>
            <w:vMerge w:val="restart"/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Category of </w:t>
            </w:r>
            <w:r w:rsidR="00E76BBD"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S</w:t>
            </w: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hareholders</w:t>
            </w:r>
          </w:p>
        </w:tc>
        <w:tc>
          <w:tcPr>
            <w:tcW w:w="1558" w:type="pct"/>
            <w:gridSpan w:val="4"/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No. of Shares held at the beginning of the year</w:t>
            </w:r>
          </w:p>
        </w:tc>
        <w:tc>
          <w:tcPr>
            <w:tcW w:w="1539" w:type="pct"/>
            <w:gridSpan w:val="4"/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No. of Shares held at the end of the year</w:t>
            </w:r>
          </w:p>
        </w:tc>
        <w:tc>
          <w:tcPr>
            <w:tcW w:w="556" w:type="pct"/>
            <w:vMerge w:val="restart"/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 Change during the year</w:t>
            </w:r>
          </w:p>
        </w:tc>
      </w:tr>
      <w:tr w:rsidR="00E573A7" w:rsidRPr="00706F9E" w:rsidTr="00E573A7">
        <w:tc>
          <w:tcPr>
            <w:tcW w:w="134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0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ind w:left="-126" w:right="-108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Demat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Physical</w:t>
            </w: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Total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ind w:left="-126" w:right="-108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 of Total Shares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ind w:left="-126" w:right="-108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Demat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Physical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Total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ind w:left="-126" w:right="-108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 of Total Shares</w:t>
            </w:r>
          </w:p>
        </w:tc>
        <w:tc>
          <w:tcPr>
            <w:tcW w:w="55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6ED6" w:rsidRPr="00706F9E" w:rsidRDefault="001C6ED6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</w:tr>
      <w:tr w:rsidR="00E573A7" w:rsidRPr="00706F9E" w:rsidTr="00E573A7">
        <w:trPr>
          <w:trHeight w:val="233"/>
        </w:trPr>
        <w:tc>
          <w:tcPr>
            <w:tcW w:w="1347" w:type="pct"/>
            <w:tcBorders>
              <w:bottom w:val="single" w:sz="4" w:space="0" w:color="000000"/>
            </w:tcBorders>
            <w:shd w:val="clear" w:color="auto" w:fill="auto"/>
          </w:tcPr>
          <w:p w:rsidR="001C6ED6" w:rsidRPr="00706F9E" w:rsidRDefault="001C6ED6" w:rsidP="00305E1F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A. Promoters</w:t>
            </w:r>
            <w:r w:rsidR="00305E1F"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1. Indian</w:t>
            </w:r>
          </w:p>
        </w:tc>
        <w:tc>
          <w:tcPr>
            <w:tcW w:w="3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</w:tr>
      <w:tr w:rsidR="00E573A7" w:rsidRPr="00706F9E" w:rsidTr="00E573A7">
        <w:trPr>
          <w:trHeight w:val="178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a) Individual/ HUF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055329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  <w:lang w:val="en-US"/>
              </w:rPr>
              <w:t>270000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CD7F6C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2700</w:t>
            </w:r>
            <w:r w:rsidR="00FF7E33"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96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EB34F0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b) Central Govt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42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EB34F0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c) State Govt (s)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73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0FFF" w:rsidRPr="00706F9E" w:rsidRDefault="00210FFF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d) Bodies Corp. 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10FFF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20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EB34F0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e) Banks/FI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79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EB34F0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f) Any Other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34F0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84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Sub-total (A) (1)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FC4CC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FC4CC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6ED6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44"/>
        </w:trPr>
        <w:tc>
          <w:tcPr>
            <w:tcW w:w="1347" w:type="pct"/>
            <w:tcBorders>
              <w:top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2. Foreign</w:t>
            </w:r>
          </w:p>
        </w:tc>
        <w:tc>
          <w:tcPr>
            <w:tcW w:w="30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</w:tcBorders>
            <w:shd w:val="clear" w:color="auto" w:fill="auto"/>
          </w:tcPr>
          <w:p w:rsidR="001C6ED6" w:rsidRPr="00706F9E" w:rsidRDefault="001C6ED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</w:tr>
      <w:tr w:rsidR="00E573A7" w:rsidRPr="00706F9E" w:rsidTr="00E573A7">
        <w:trPr>
          <w:trHeight w:val="189"/>
        </w:trPr>
        <w:tc>
          <w:tcPr>
            <w:tcW w:w="1347" w:type="pct"/>
            <w:tcBorders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a)NRIs - Individuals</w:t>
            </w:r>
          </w:p>
        </w:tc>
        <w:tc>
          <w:tcPr>
            <w:tcW w:w="3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13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b)Other-Individuals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13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c) Bodies Corp.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72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d) Banks / FI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91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e) Any Other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37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Sub-total (A)(2)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37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F7E33" w:rsidRPr="00706F9E" w:rsidRDefault="00FF7E33" w:rsidP="00B11E92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Total of (A) = (A)(1)+(A)( 2)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F7E33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73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B. Public Shareholding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76BBD" w:rsidRPr="00706F9E" w:rsidRDefault="00E76BBD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</w:tr>
      <w:tr w:rsidR="00E573A7" w:rsidRPr="00706F9E" w:rsidTr="00E573A7">
        <w:trPr>
          <w:trHeight w:val="78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1. Institutions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73A7" w:rsidRPr="00706F9E" w:rsidTr="00E573A7">
        <w:trPr>
          <w:trHeight w:val="124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a) Mutual Funds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83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b) Banks/FI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88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c) Central Govt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48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d) State Govt(s)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94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lastRenderedPageBreak/>
              <w:t>e) Venture Capital Funds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12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f) Insurance Companies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58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g) FIIs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12"/>
        </w:trPr>
        <w:tc>
          <w:tcPr>
            <w:tcW w:w="1347" w:type="pct"/>
            <w:tcBorders>
              <w:top w:val="single" w:sz="4" w:space="0" w:color="000000"/>
            </w:tcBorders>
            <w:shd w:val="clear" w:color="auto" w:fill="auto"/>
          </w:tcPr>
          <w:p w:rsidR="00030882" w:rsidRPr="00706F9E" w:rsidRDefault="00B11E9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h)</w:t>
            </w:r>
            <w:r w:rsidR="00030882"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Foreign Venture Capital Funds</w:t>
            </w:r>
          </w:p>
        </w:tc>
        <w:tc>
          <w:tcPr>
            <w:tcW w:w="30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96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i) Others (specify)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213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Sub-total (B)(1):-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73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2. Non-Institutions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jc w:val="both"/>
              <w:rPr>
                <w:rFonts w:cstheme="minorHAnsi"/>
                <w:color w:val="231F20"/>
                <w:sz w:val="18"/>
                <w:szCs w:val="18"/>
              </w:rPr>
            </w:pPr>
          </w:p>
        </w:tc>
      </w:tr>
      <w:tr w:rsidR="00E573A7" w:rsidRPr="00706F9E" w:rsidTr="00E573A7">
        <w:trPr>
          <w:trHeight w:val="220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a) Bodies Corp.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38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i) Indian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84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ii) Overseas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02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b) Individuals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573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i) Individual shareholders holding nominal share capital upto Rs. 1 lakh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611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ii) Individual shareholders holding nominal share capital in excess of Rs 1 lakh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96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c) Others (specify)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30882" w:rsidRPr="00706F9E" w:rsidRDefault="00030882">
            <w:pPr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41"/>
        </w:trPr>
        <w:tc>
          <w:tcPr>
            <w:tcW w:w="13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Sub-total (B)(2):-</w:t>
            </w:r>
          </w:p>
        </w:tc>
        <w:tc>
          <w:tcPr>
            <w:tcW w:w="3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344"/>
        </w:trPr>
        <w:tc>
          <w:tcPr>
            <w:tcW w:w="1347" w:type="pct"/>
            <w:tcBorders>
              <w:top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pStyle w:val="TableParagraph"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Total Public Shareholding (B) = (B)(1) + (B)(2)</w:t>
            </w:r>
          </w:p>
        </w:tc>
        <w:tc>
          <w:tcPr>
            <w:tcW w:w="30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sz w:val="18"/>
                <w:szCs w:val="18"/>
              </w:rPr>
            </w:pPr>
            <w:r w:rsidRPr="00706F9E">
              <w:rPr>
                <w:rFonts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321"/>
        </w:trPr>
        <w:tc>
          <w:tcPr>
            <w:tcW w:w="1347" w:type="pct"/>
            <w:tcBorders>
              <w:top w:val="single" w:sz="4" w:space="0" w:color="000000"/>
            </w:tcBorders>
            <w:shd w:val="clear" w:color="auto" w:fill="auto"/>
          </w:tcPr>
          <w:p w:rsidR="00FC4CC6" w:rsidRPr="00706F9E" w:rsidRDefault="00FC4CC6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C. Shares held by Custodian for GDRs &amp; ADRs</w:t>
            </w:r>
          </w:p>
        </w:tc>
        <w:tc>
          <w:tcPr>
            <w:tcW w:w="30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556" w:type="pct"/>
            <w:tcBorders>
              <w:top w:val="single" w:sz="4" w:space="0" w:color="000000"/>
            </w:tcBorders>
            <w:shd w:val="clear" w:color="auto" w:fill="auto"/>
          </w:tcPr>
          <w:p w:rsidR="00FC4CC6" w:rsidRPr="00706F9E" w:rsidRDefault="00030882" w:rsidP="0012439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06F9E">
              <w:rPr>
                <w:rFonts w:cstheme="minorHAnsi"/>
                <w:b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E573A7">
        <w:trPr>
          <w:trHeight w:val="157"/>
        </w:trPr>
        <w:tc>
          <w:tcPr>
            <w:tcW w:w="1347" w:type="pct"/>
            <w:tcBorders>
              <w:top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Grand Total (A+B+C)</w:t>
            </w:r>
          </w:p>
        </w:tc>
        <w:tc>
          <w:tcPr>
            <w:tcW w:w="30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100</w:t>
            </w:r>
          </w:p>
        </w:tc>
        <w:tc>
          <w:tcPr>
            <w:tcW w:w="307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E33" w:rsidRPr="00706F9E" w:rsidRDefault="00FF7E33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100</w:t>
            </w:r>
          </w:p>
        </w:tc>
        <w:tc>
          <w:tcPr>
            <w:tcW w:w="556" w:type="pct"/>
            <w:tcBorders>
              <w:top w:val="single" w:sz="4" w:space="0" w:color="000000"/>
            </w:tcBorders>
            <w:shd w:val="clear" w:color="auto" w:fill="auto"/>
          </w:tcPr>
          <w:p w:rsidR="00FF7E33" w:rsidRPr="00706F9E" w:rsidRDefault="00030882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</w:tr>
    </w:tbl>
    <w:p w:rsidR="002A7495" w:rsidRPr="00706F9E" w:rsidRDefault="002A7495" w:rsidP="0012439B">
      <w:pPr>
        <w:pStyle w:val="TableParagraph"/>
        <w:widowControl/>
        <w:kinsoku w:val="0"/>
        <w:overflowPunct w:val="0"/>
        <w:ind w:left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2A7495" w:rsidRPr="00706F9E" w:rsidRDefault="00E76BBD" w:rsidP="0012439B">
      <w:pPr>
        <w:pStyle w:val="TableParagraph"/>
        <w:widowControl/>
        <w:numPr>
          <w:ilvl w:val="0"/>
          <w:numId w:val="5"/>
        </w:numPr>
        <w:kinsoku w:val="0"/>
        <w:overflowPunct w:val="0"/>
        <w:ind w:left="567" w:hanging="567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Shareholding of Promoters</w:t>
      </w:r>
    </w:p>
    <w:p w:rsidR="00E76BBD" w:rsidRPr="00706F9E" w:rsidRDefault="00E76BBD" w:rsidP="0012439B">
      <w:pPr>
        <w:pStyle w:val="TableParagraph"/>
        <w:widowControl/>
        <w:kinsoku w:val="0"/>
        <w:overflowPunct w:val="0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tbl>
      <w:tblPr>
        <w:tblStyle w:val="TableGrid"/>
        <w:tblW w:w="4888" w:type="pct"/>
        <w:tblInd w:w="108" w:type="dxa"/>
        <w:tblLook w:val="04A0"/>
      </w:tblPr>
      <w:tblGrid>
        <w:gridCol w:w="497"/>
        <w:gridCol w:w="1631"/>
        <w:gridCol w:w="990"/>
        <w:gridCol w:w="1276"/>
        <w:gridCol w:w="1355"/>
        <w:gridCol w:w="773"/>
        <w:gridCol w:w="1274"/>
        <w:gridCol w:w="1335"/>
        <w:gridCol w:w="934"/>
      </w:tblGrid>
      <w:tr w:rsidR="007C313E" w:rsidRPr="00706F9E" w:rsidTr="00F71107">
        <w:tc>
          <w:tcPr>
            <w:tcW w:w="247" w:type="pct"/>
            <w:vMerge w:val="restart"/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Sl. No.</w:t>
            </w:r>
          </w:p>
        </w:tc>
        <w:tc>
          <w:tcPr>
            <w:tcW w:w="810" w:type="pct"/>
            <w:vMerge w:val="restart"/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Shareholder's Name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Shareholding at the beginning of the year</w:t>
            </w:r>
          </w:p>
        </w:tc>
        <w:tc>
          <w:tcPr>
            <w:tcW w:w="168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Shareholding at the end of the year</w:t>
            </w:r>
          </w:p>
        </w:tc>
        <w:tc>
          <w:tcPr>
            <w:tcW w:w="464" w:type="pct"/>
            <w:vMerge w:val="restart"/>
            <w:shd w:val="clear" w:color="auto" w:fill="D9D9D9" w:themeFill="background1" w:themeFillShade="D9"/>
          </w:tcPr>
          <w:p w:rsid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 change in share</w:t>
            </w:r>
          </w:p>
          <w:p w:rsid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holding</w:t>
            </w:r>
          </w:p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during the year</w:t>
            </w:r>
          </w:p>
        </w:tc>
      </w:tr>
      <w:tr w:rsidR="00E573A7" w:rsidRPr="00706F9E" w:rsidTr="00F71107">
        <w:tc>
          <w:tcPr>
            <w:tcW w:w="247" w:type="pct"/>
            <w:vMerge/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810" w:type="pct"/>
            <w:vMerge/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492" w:type="pct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No. of Shares</w:t>
            </w:r>
          </w:p>
        </w:tc>
        <w:tc>
          <w:tcPr>
            <w:tcW w:w="63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 of total Shares of the company</w:t>
            </w:r>
          </w:p>
        </w:tc>
        <w:tc>
          <w:tcPr>
            <w:tcW w:w="673" w:type="pct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</w:t>
            </w:r>
            <w:r w:rsidR="007B639E"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of Shares Pledged/</w:t>
            </w: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br/>
              <w:t>encumbered to total shares</w:t>
            </w:r>
          </w:p>
        </w:tc>
        <w:tc>
          <w:tcPr>
            <w:tcW w:w="384" w:type="pct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No. of Shares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 of total Shares of the company</w:t>
            </w:r>
          </w:p>
        </w:tc>
        <w:tc>
          <w:tcPr>
            <w:tcW w:w="663" w:type="pct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%</w:t>
            </w:r>
            <w:r w:rsidR="007B639E"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of Shares Pledged/ encumbered to total shares</w:t>
            </w:r>
          </w:p>
        </w:tc>
        <w:tc>
          <w:tcPr>
            <w:tcW w:w="464" w:type="pct"/>
            <w:vMerge/>
          </w:tcPr>
          <w:p w:rsidR="007C313E" w:rsidRPr="00706F9E" w:rsidRDefault="007C313E" w:rsidP="00E573A7">
            <w:pPr>
              <w:pStyle w:val="TableParagraph"/>
              <w:widowControl/>
              <w:kinsoku w:val="0"/>
              <w:overflowPunct w:val="0"/>
              <w:jc w:val="center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</w:tr>
      <w:tr w:rsidR="00E573A7" w:rsidRPr="00706F9E" w:rsidTr="00F71107">
        <w:tc>
          <w:tcPr>
            <w:tcW w:w="247" w:type="pct"/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</w:t>
            </w:r>
          </w:p>
        </w:tc>
        <w:tc>
          <w:tcPr>
            <w:tcW w:w="810" w:type="pct"/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Nilaykumar V Daga</w:t>
            </w:r>
          </w:p>
        </w:tc>
        <w:tc>
          <w:tcPr>
            <w:tcW w:w="492" w:type="pct"/>
            <w:tcBorders>
              <w:righ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135000</w:t>
            </w:r>
          </w:p>
        </w:tc>
        <w:tc>
          <w:tcPr>
            <w:tcW w:w="634" w:type="pct"/>
            <w:tcBorders>
              <w:left w:val="single" w:sz="4" w:space="0" w:color="000000"/>
              <w:righ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50</w:t>
            </w:r>
          </w:p>
        </w:tc>
        <w:tc>
          <w:tcPr>
            <w:tcW w:w="673" w:type="pct"/>
            <w:tcBorders>
              <w:lef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righ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135000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50</w:t>
            </w:r>
          </w:p>
        </w:tc>
        <w:tc>
          <w:tcPr>
            <w:tcW w:w="663" w:type="pct"/>
            <w:tcBorders>
              <w:lef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64" w:type="pct"/>
          </w:tcPr>
          <w:p w:rsidR="00B97A15" w:rsidRPr="00706F9E" w:rsidRDefault="00977899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F71107">
        <w:tc>
          <w:tcPr>
            <w:tcW w:w="247" w:type="pct"/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2</w:t>
            </w:r>
          </w:p>
        </w:tc>
        <w:tc>
          <w:tcPr>
            <w:tcW w:w="810" w:type="pct"/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Kaushik Daga</w:t>
            </w:r>
          </w:p>
        </w:tc>
        <w:tc>
          <w:tcPr>
            <w:tcW w:w="492" w:type="pct"/>
            <w:tcBorders>
              <w:righ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135000</w:t>
            </w:r>
          </w:p>
        </w:tc>
        <w:tc>
          <w:tcPr>
            <w:tcW w:w="634" w:type="pct"/>
            <w:tcBorders>
              <w:left w:val="single" w:sz="4" w:space="0" w:color="000000"/>
              <w:righ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50</w:t>
            </w:r>
          </w:p>
        </w:tc>
        <w:tc>
          <w:tcPr>
            <w:tcW w:w="673" w:type="pct"/>
            <w:tcBorders>
              <w:lef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righ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135000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50</w:t>
            </w:r>
          </w:p>
        </w:tc>
        <w:tc>
          <w:tcPr>
            <w:tcW w:w="663" w:type="pct"/>
            <w:tcBorders>
              <w:left w:val="single" w:sz="4" w:space="0" w:color="000000"/>
            </w:tcBorders>
          </w:tcPr>
          <w:p w:rsidR="00B97A15" w:rsidRPr="00706F9E" w:rsidRDefault="00B97A15" w:rsidP="005C0089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  <w:tc>
          <w:tcPr>
            <w:tcW w:w="464" w:type="pct"/>
          </w:tcPr>
          <w:p w:rsidR="00B97A15" w:rsidRPr="00706F9E" w:rsidRDefault="00977899" w:rsidP="004441AC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0</w:t>
            </w:r>
          </w:p>
        </w:tc>
      </w:tr>
      <w:tr w:rsidR="00E573A7" w:rsidRPr="00706F9E" w:rsidTr="00F71107">
        <w:tc>
          <w:tcPr>
            <w:tcW w:w="247" w:type="pct"/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810" w:type="pct"/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Total</w:t>
            </w:r>
          </w:p>
        </w:tc>
        <w:tc>
          <w:tcPr>
            <w:tcW w:w="492" w:type="pct"/>
            <w:tcBorders>
              <w:right w:val="single" w:sz="4" w:space="0" w:color="000000"/>
            </w:tcBorders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634" w:type="pct"/>
            <w:tcBorders>
              <w:left w:val="single" w:sz="4" w:space="0" w:color="000000"/>
              <w:right w:val="single" w:sz="4" w:space="0" w:color="000000"/>
            </w:tcBorders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100</w:t>
            </w:r>
          </w:p>
        </w:tc>
        <w:tc>
          <w:tcPr>
            <w:tcW w:w="673" w:type="pct"/>
            <w:tcBorders>
              <w:left w:val="single" w:sz="4" w:space="0" w:color="000000"/>
            </w:tcBorders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right w:val="single" w:sz="4" w:space="0" w:color="000000"/>
            </w:tcBorders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270000</w:t>
            </w:r>
          </w:p>
        </w:tc>
        <w:tc>
          <w:tcPr>
            <w:tcW w:w="633" w:type="pct"/>
            <w:tcBorders>
              <w:left w:val="single" w:sz="4" w:space="0" w:color="000000"/>
              <w:right w:val="single" w:sz="4" w:space="0" w:color="000000"/>
            </w:tcBorders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100</w:t>
            </w:r>
          </w:p>
        </w:tc>
        <w:tc>
          <w:tcPr>
            <w:tcW w:w="663" w:type="pct"/>
            <w:tcBorders>
              <w:left w:val="single" w:sz="4" w:space="0" w:color="000000"/>
            </w:tcBorders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  <w:tc>
          <w:tcPr>
            <w:tcW w:w="464" w:type="pct"/>
          </w:tcPr>
          <w:p w:rsidR="00B97A15" w:rsidRPr="00706F9E" w:rsidRDefault="00B97A15" w:rsidP="0012439B">
            <w:pPr>
              <w:pStyle w:val="TableParagraph"/>
              <w:widowControl/>
              <w:kinsoku w:val="0"/>
              <w:overflowPunct w:val="0"/>
              <w:jc w:val="both"/>
              <w:outlineLvl w:val="7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706F9E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0</w:t>
            </w:r>
          </w:p>
        </w:tc>
      </w:tr>
    </w:tbl>
    <w:p w:rsidR="00E76BBD" w:rsidRPr="00706F9E" w:rsidRDefault="00E76BBD" w:rsidP="0012439B">
      <w:pPr>
        <w:pStyle w:val="TableParagraph"/>
        <w:widowControl/>
        <w:kinsoku w:val="0"/>
        <w:overflowPunct w:val="0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p w:rsidR="007C313E" w:rsidRPr="00706F9E" w:rsidRDefault="007C313E" w:rsidP="00B97A15">
      <w:pPr>
        <w:pStyle w:val="TableParagraph"/>
        <w:widowControl/>
        <w:numPr>
          <w:ilvl w:val="0"/>
          <w:numId w:val="5"/>
        </w:numPr>
        <w:kinsoku w:val="0"/>
        <w:overflowPunct w:val="0"/>
        <w:ind w:left="567" w:right="-279" w:hanging="567"/>
        <w:jc w:val="both"/>
        <w:outlineLvl w:val="7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Ch</w:t>
      </w:r>
      <w:r w:rsidR="005D02AD" w:rsidRPr="00706F9E">
        <w:rPr>
          <w:rFonts w:asciiTheme="minorHAnsi" w:hAnsiTheme="minorHAnsi" w:cstheme="minorHAnsi"/>
          <w:b/>
          <w:color w:val="231F20"/>
          <w:sz w:val="18"/>
          <w:szCs w:val="18"/>
        </w:rPr>
        <w:t>ange in Promoters' Shareholding.</w:t>
      </w:r>
    </w:p>
    <w:p w:rsidR="007C313E" w:rsidRPr="00706F9E" w:rsidRDefault="007C313E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color w:val="FF0000"/>
          <w:sz w:val="18"/>
          <w:szCs w:val="18"/>
        </w:rPr>
      </w:pPr>
    </w:p>
    <w:p w:rsidR="00B97A15" w:rsidRPr="00706F9E" w:rsidRDefault="00B97A15" w:rsidP="00B97A15">
      <w:pPr>
        <w:pStyle w:val="TableParagraph"/>
        <w:widowControl/>
        <w:tabs>
          <w:tab w:val="left" w:pos="426"/>
        </w:tabs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sz w:val="18"/>
          <w:szCs w:val="18"/>
        </w:rPr>
      </w:pPr>
      <w:r w:rsidRPr="00706F9E">
        <w:rPr>
          <w:rFonts w:asciiTheme="minorHAnsi" w:hAnsiTheme="minorHAnsi" w:cstheme="minorHAnsi"/>
          <w:sz w:val="18"/>
          <w:szCs w:val="18"/>
        </w:rPr>
        <w:t>During the financial year 2018-2019, there was no change in the Promoters Shareholding.</w:t>
      </w:r>
    </w:p>
    <w:p w:rsidR="001931F8" w:rsidRPr="00706F9E" w:rsidRDefault="001931F8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color w:val="FF0000"/>
          <w:sz w:val="18"/>
          <w:szCs w:val="18"/>
        </w:rPr>
      </w:pPr>
    </w:p>
    <w:p w:rsidR="007C313E" w:rsidRPr="00706F9E" w:rsidRDefault="007C313E" w:rsidP="00B97A15">
      <w:pPr>
        <w:pStyle w:val="TableParagraph"/>
        <w:widowControl/>
        <w:numPr>
          <w:ilvl w:val="0"/>
          <w:numId w:val="5"/>
        </w:numPr>
        <w:kinsoku w:val="0"/>
        <w:overflowPunct w:val="0"/>
        <w:ind w:left="567" w:right="-279" w:hanging="567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Shareholding Pattern of top ten Shareholders (other than Directors, Promoters and Holders of GDRs and ADRs):</w:t>
      </w:r>
    </w:p>
    <w:p w:rsidR="007C313E" w:rsidRPr="00706F9E" w:rsidRDefault="007C313E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p w:rsidR="001931F8" w:rsidRPr="00706F9E" w:rsidRDefault="001931F8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sz w:val="18"/>
          <w:szCs w:val="18"/>
        </w:rPr>
      </w:pPr>
      <w:r w:rsidRPr="00706F9E">
        <w:rPr>
          <w:rFonts w:asciiTheme="minorHAnsi" w:hAnsiTheme="minorHAnsi" w:cstheme="minorHAnsi"/>
          <w:sz w:val="18"/>
          <w:szCs w:val="18"/>
        </w:rPr>
        <w:t>There are no shareholders other than Promoters of the Company.</w:t>
      </w:r>
    </w:p>
    <w:p w:rsidR="007C313E" w:rsidRPr="00706F9E" w:rsidRDefault="007C313E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p w:rsidR="001931F8" w:rsidRPr="00706F9E" w:rsidRDefault="001931F8" w:rsidP="00B97A15">
      <w:pPr>
        <w:pStyle w:val="TableParagraph"/>
        <w:widowControl/>
        <w:numPr>
          <w:ilvl w:val="0"/>
          <w:numId w:val="5"/>
        </w:numPr>
        <w:kinsoku w:val="0"/>
        <w:overflowPunct w:val="0"/>
        <w:ind w:left="567" w:right="-279" w:hanging="567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Shareholding of Directors and Key Managerial Personnel:</w:t>
      </w:r>
    </w:p>
    <w:p w:rsidR="001B319B" w:rsidRPr="00706F9E" w:rsidRDefault="001B319B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p w:rsidR="00B97A15" w:rsidRPr="00706F9E" w:rsidRDefault="00B97A15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color w:val="231F20"/>
          <w:sz w:val="18"/>
          <w:szCs w:val="18"/>
        </w:rPr>
        <w:t>Directors do not hold any shares in the Company and the Company is not required to appoint Key Managerial Personnel.</w:t>
      </w:r>
    </w:p>
    <w:p w:rsidR="001931F8" w:rsidRPr="00706F9E" w:rsidRDefault="001931F8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p w:rsidR="001931F8" w:rsidRPr="00706F9E" w:rsidRDefault="001931F8" w:rsidP="00B97A15">
      <w:pPr>
        <w:pStyle w:val="TableParagraph"/>
        <w:widowControl/>
        <w:numPr>
          <w:ilvl w:val="0"/>
          <w:numId w:val="3"/>
        </w:numPr>
        <w:kinsoku w:val="0"/>
        <w:overflowPunct w:val="0"/>
        <w:ind w:left="426" w:right="-279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INDEBTEDNESS</w:t>
      </w:r>
    </w:p>
    <w:p w:rsidR="001931F8" w:rsidRPr="00706F9E" w:rsidRDefault="001931F8" w:rsidP="00B97A15">
      <w:pPr>
        <w:pStyle w:val="TableParagraph"/>
        <w:widowControl/>
        <w:kinsoku w:val="0"/>
        <w:overflowPunct w:val="0"/>
        <w:ind w:right="-279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B97A15" w:rsidRPr="00706F9E" w:rsidRDefault="00B97A15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color w:val="231F20"/>
          <w:sz w:val="18"/>
          <w:szCs w:val="18"/>
        </w:rPr>
        <w:t>Indebtedness of the Company including interest outstanding/accrued but not due for payment:</w:t>
      </w:r>
    </w:p>
    <w:p w:rsidR="00B97A15" w:rsidRPr="00706F9E" w:rsidRDefault="00B97A15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p w:rsidR="00B97A15" w:rsidRPr="00706F9E" w:rsidRDefault="00B97A15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color w:val="231F20"/>
          <w:sz w:val="18"/>
          <w:szCs w:val="18"/>
        </w:rPr>
        <w:t>The Company had no indebtedness with respect to Secured Loans excluding Deposits, Unsecured Loans or Deposits during the financial year 2018-19.</w:t>
      </w:r>
    </w:p>
    <w:p w:rsidR="007B639E" w:rsidRPr="00706F9E" w:rsidRDefault="007B639E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1931F8" w:rsidRPr="00706F9E" w:rsidRDefault="001931F8" w:rsidP="001D24A9">
      <w:pPr>
        <w:pStyle w:val="TableParagraph"/>
        <w:widowControl/>
        <w:numPr>
          <w:ilvl w:val="0"/>
          <w:numId w:val="3"/>
        </w:numPr>
        <w:kinsoku w:val="0"/>
        <w:overflowPunct w:val="0"/>
        <w:ind w:left="426" w:right="4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REMUNERATION OF DIRECTORS AND KEY MANAGERIAL PERSONNEL</w:t>
      </w:r>
    </w:p>
    <w:p w:rsidR="00F624DF" w:rsidRPr="00706F9E" w:rsidRDefault="00F624DF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F624DF" w:rsidRPr="00706F9E" w:rsidRDefault="00F624DF" w:rsidP="001D24A9">
      <w:pPr>
        <w:pStyle w:val="TableParagraph"/>
        <w:widowControl/>
        <w:numPr>
          <w:ilvl w:val="0"/>
          <w:numId w:val="6"/>
        </w:numPr>
        <w:kinsoku w:val="0"/>
        <w:overflowPunct w:val="0"/>
        <w:ind w:left="426" w:right="4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Remuneration to Managing Director, Whole-time Directors and/or Manager:</w:t>
      </w:r>
    </w:p>
    <w:p w:rsidR="00F624DF" w:rsidRPr="00706F9E" w:rsidRDefault="00F624DF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B97A15" w:rsidRPr="00706F9E" w:rsidRDefault="00B97A15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color w:val="231F20"/>
          <w:sz w:val="18"/>
          <w:szCs w:val="18"/>
        </w:rPr>
        <w:t>No remuneration is paid to any Directors.</w:t>
      </w:r>
    </w:p>
    <w:p w:rsidR="003824D4" w:rsidRPr="00706F9E" w:rsidRDefault="003824D4" w:rsidP="001D24A9">
      <w:pPr>
        <w:pStyle w:val="TableParagraph"/>
        <w:widowControl/>
        <w:kinsoku w:val="0"/>
        <w:overflowPunct w:val="0"/>
        <w:ind w:left="454"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F624DF" w:rsidRPr="00706F9E" w:rsidRDefault="00F624DF" w:rsidP="001D24A9">
      <w:pPr>
        <w:pStyle w:val="TableParagraph"/>
        <w:widowControl/>
        <w:numPr>
          <w:ilvl w:val="0"/>
          <w:numId w:val="6"/>
        </w:numPr>
        <w:kinsoku w:val="0"/>
        <w:overflowPunct w:val="0"/>
        <w:ind w:left="426" w:right="4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Remuneration to other directors:</w:t>
      </w:r>
    </w:p>
    <w:p w:rsidR="0050176E" w:rsidRPr="00706F9E" w:rsidRDefault="0050176E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F71107" w:rsidRPr="00706F9E" w:rsidRDefault="00F71107" w:rsidP="00F71107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color w:val="231F20"/>
          <w:sz w:val="18"/>
          <w:szCs w:val="18"/>
        </w:rPr>
        <w:t>No remuneration is paid to any Directors.</w:t>
      </w:r>
    </w:p>
    <w:p w:rsidR="00B11E92" w:rsidRPr="00706F9E" w:rsidRDefault="00B11E92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F624DF" w:rsidRPr="00706F9E" w:rsidRDefault="00F624DF" w:rsidP="001D24A9">
      <w:pPr>
        <w:pStyle w:val="TableParagraph"/>
        <w:widowControl/>
        <w:numPr>
          <w:ilvl w:val="0"/>
          <w:numId w:val="6"/>
        </w:numPr>
        <w:kinsoku w:val="0"/>
        <w:overflowPunct w:val="0"/>
        <w:ind w:left="426" w:right="4" w:hanging="426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lastRenderedPageBreak/>
        <w:t>Remuneration To Key Managerial Personnel Other Than MD/Manager/WTD</w:t>
      </w:r>
      <w:r w:rsidR="0099606F" w:rsidRPr="00706F9E">
        <w:rPr>
          <w:rFonts w:asciiTheme="minorHAnsi" w:hAnsiTheme="minorHAnsi" w:cstheme="minorHAnsi"/>
          <w:color w:val="231F20"/>
          <w:sz w:val="18"/>
          <w:szCs w:val="18"/>
        </w:rPr>
        <w:t>:</w:t>
      </w:r>
    </w:p>
    <w:p w:rsidR="00F624DF" w:rsidRPr="00706F9E" w:rsidRDefault="00F624DF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p w:rsidR="00B97A15" w:rsidRPr="00706F9E" w:rsidRDefault="00B97A15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color w:val="231F20"/>
          <w:sz w:val="18"/>
          <w:szCs w:val="18"/>
        </w:rPr>
        <w:t>The Company is not required to appoint Key Managerial Personnel.</w:t>
      </w:r>
    </w:p>
    <w:p w:rsidR="00E900BB" w:rsidRPr="00706F9E" w:rsidRDefault="00E900BB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</w:p>
    <w:p w:rsidR="00F166E9" w:rsidRPr="00706F9E" w:rsidRDefault="00F166E9" w:rsidP="001D24A9">
      <w:pPr>
        <w:pStyle w:val="TableParagraph"/>
        <w:widowControl/>
        <w:numPr>
          <w:ilvl w:val="0"/>
          <w:numId w:val="3"/>
        </w:numPr>
        <w:kinsoku w:val="0"/>
        <w:overflowPunct w:val="0"/>
        <w:ind w:left="426" w:right="4" w:hanging="426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b/>
          <w:color w:val="231F20"/>
          <w:sz w:val="18"/>
          <w:szCs w:val="18"/>
        </w:rPr>
        <w:t>PENALTIES/PUNISHMENT/COMPOUNDING OF OFFENCES:</w:t>
      </w:r>
    </w:p>
    <w:p w:rsidR="00F166E9" w:rsidRPr="00706F9E" w:rsidRDefault="00F166E9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B97A15" w:rsidRPr="00706F9E" w:rsidRDefault="00B97A15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color w:val="231F20"/>
          <w:sz w:val="18"/>
          <w:szCs w:val="18"/>
        </w:rPr>
      </w:pPr>
      <w:r w:rsidRPr="00706F9E">
        <w:rPr>
          <w:rFonts w:asciiTheme="minorHAnsi" w:hAnsiTheme="minorHAnsi" w:cstheme="minorHAnsi"/>
          <w:color w:val="231F20"/>
          <w:sz w:val="18"/>
          <w:szCs w:val="18"/>
        </w:rPr>
        <w:t>There were no penalties / punishment / compounding of the offences for breach of any section of the Companies Act, 2013, against the Company or its Directors or other Officers in default, if any, during the year.</w:t>
      </w:r>
    </w:p>
    <w:p w:rsidR="00F166E9" w:rsidRPr="00706F9E" w:rsidRDefault="00F166E9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7B639E" w:rsidRPr="00706F9E" w:rsidRDefault="007B639E" w:rsidP="001D24A9">
      <w:pPr>
        <w:pStyle w:val="TableParagraph"/>
        <w:widowControl/>
        <w:kinsoku w:val="0"/>
        <w:overflowPunct w:val="0"/>
        <w:ind w:right="4"/>
        <w:jc w:val="both"/>
        <w:outlineLvl w:val="7"/>
        <w:rPr>
          <w:rFonts w:asciiTheme="minorHAnsi" w:hAnsiTheme="minorHAnsi" w:cstheme="minorHAnsi"/>
          <w:b/>
          <w:color w:val="231F20"/>
          <w:sz w:val="18"/>
          <w:szCs w:val="18"/>
        </w:rPr>
      </w:pPr>
    </w:p>
    <w:p w:rsidR="0029624A" w:rsidRPr="00706F9E" w:rsidRDefault="003B32EC" w:rsidP="001D24A9">
      <w:pPr>
        <w:spacing w:after="0" w:line="240" w:lineRule="auto"/>
        <w:ind w:left="4320" w:right="4" w:firstLine="720"/>
        <w:jc w:val="right"/>
        <w:rPr>
          <w:rFonts w:eastAsia="Arial Unicode MS" w:cstheme="minorHAnsi"/>
          <w:b/>
          <w:bCs/>
          <w:i/>
          <w:sz w:val="18"/>
          <w:szCs w:val="18"/>
        </w:rPr>
      </w:pPr>
      <w:r w:rsidRPr="00706F9E">
        <w:rPr>
          <w:rFonts w:eastAsia="Arial Unicode MS" w:cstheme="minorHAnsi"/>
          <w:b/>
          <w:bCs/>
          <w:sz w:val="18"/>
          <w:szCs w:val="18"/>
        </w:rPr>
        <w:t xml:space="preserve">       </w:t>
      </w:r>
      <w:r w:rsidR="005B08F7" w:rsidRPr="00706F9E">
        <w:rPr>
          <w:rFonts w:eastAsia="Arial Unicode MS" w:cstheme="minorHAnsi"/>
          <w:b/>
          <w:bCs/>
          <w:sz w:val="18"/>
          <w:szCs w:val="18"/>
        </w:rPr>
        <w:tab/>
        <w:t xml:space="preserve">            </w:t>
      </w:r>
      <w:r w:rsidRPr="00706F9E">
        <w:rPr>
          <w:rFonts w:eastAsia="Arial Unicode MS" w:cstheme="minorHAnsi"/>
          <w:b/>
          <w:bCs/>
          <w:sz w:val="18"/>
          <w:szCs w:val="18"/>
        </w:rPr>
        <w:t xml:space="preserve"> </w:t>
      </w:r>
      <w:r w:rsidR="0029624A" w:rsidRPr="00706F9E">
        <w:rPr>
          <w:rFonts w:eastAsia="Arial Unicode MS" w:cstheme="minorHAnsi"/>
          <w:b/>
          <w:bCs/>
          <w:sz w:val="18"/>
          <w:szCs w:val="18"/>
        </w:rPr>
        <w:t>For &amp; on Behalf of the Board of Directors</w:t>
      </w:r>
    </w:p>
    <w:p w:rsidR="0029624A" w:rsidRPr="00706F9E" w:rsidRDefault="0029624A" w:rsidP="001D24A9">
      <w:pPr>
        <w:pStyle w:val="BodyText"/>
        <w:spacing w:after="0" w:line="240" w:lineRule="auto"/>
        <w:ind w:right="4"/>
        <w:jc w:val="both"/>
        <w:rPr>
          <w:rFonts w:eastAsia="Arial Unicode MS" w:cstheme="minorHAnsi"/>
          <w:sz w:val="18"/>
          <w:szCs w:val="18"/>
        </w:rPr>
      </w:pPr>
    </w:p>
    <w:p w:rsidR="0029624A" w:rsidRPr="00706F9E" w:rsidRDefault="0029624A" w:rsidP="001D24A9">
      <w:pPr>
        <w:pStyle w:val="BodyText"/>
        <w:spacing w:after="0" w:line="240" w:lineRule="auto"/>
        <w:ind w:right="4"/>
        <w:jc w:val="both"/>
        <w:rPr>
          <w:rFonts w:eastAsia="Arial Unicode MS" w:cstheme="minorHAnsi"/>
          <w:sz w:val="18"/>
          <w:szCs w:val="18"/>
        </w:rPr>
      </w:pPr>
    </w:p>
    <w:p w:rsidR="0029624A" w:rsidRPr="00706F9E" w:rsidRDefault="004C6773" w:rsidP="001D24A9">
      <w:pPr>
        <w:spacing w:after="0" w:line="240" w:lineRule="auto"/>
        <w:ind w:right="4"/>
        <w:jc w:val="both"/>
        <w:rPr>
          <w:rFonts w:eastAsia="Arial Unicode MS" w:cstheme="minorHAnsi"/>
          <w:b/>
          <w:sz w:val="18"/>
          <w:szCs w:val="18"/>
        </w:rPr>
      </w:pPr>
      <w:r>
        <w:rPr>
          <w:rFonts w:eastAsia="Arial Unicode MS" w:cstheme="minorHAnsi"/>
          <w:b/>
          <w:sz w:val="18"/>
          <w:szCs w:val="18"/>
        </w:rPr>
        <w:tab/>
      </w:r>
      <w:r>
        <w:rPr>
          <w:rFonts w:eastAsia="Arial Unicode MS" w:cstheme="minorHAnsi"/>
          <w:b/>
          <w:sz w:val="18"/>
          <w:szCs w:val="18"/>
        </w:rPr>
        <w:tab/>
      </w:r>
      <w:r>
        <w:rPr>
          <w:rFonts w:eastAsia="Arial Unicode MS" w:cstheme="minorHAnsi"/>
          <w:b/>
          <w:sz w:val="18"/>
          <w:szCs w:val="18"/>
        </w:rPr>
        <w:tab/>
      </w:r>
      <w:r>
        <w:rPr>
          <w:rFonts w:eastAsia="Arial Unicode MS" w:cstheme="minorHAnsi"/>
          <w:b/>
          <w:sz w:val="18"/>
          <w:szCs w:val="18"/>
        </w:rPr>
        <w:tab/>
      </w:r>
      <w:r>
        <w:rPr>
          <w:rFonts w:eastAsia="Arial Unicode MS" w:cstheme="minorHAnsi"/>
          <w:b/>
          <w:sz w:val="18"/>
          <w:szCs w:val="18"/>
        </w:rPr>
        <w:tab/>
      </w:r>
      <w:r>
        <w:rPr>
          <w:rFonts w:eastAsia="Arial Unicode MS" w:cstheme="minorHAnsi"/>
          <w:b/>
          <w:sz w:val="18"/>
          <w:szCs w:val="18"/>
        </w:rPr>
        <w:tab/>
      </w:r>
      <w:r>
        <w:rPr>
          <w:rFonts w:eastAsia="Arial Unicode MS" w:cstheme="minorHAnsi"/>
          <w:b/>
          <w:sz w:val="18"/>
          <w:szCs w:val="18"/>
        </w:rPr>
        <w:tab/>
      </w:r>
      <w:r>
        <w:rPr>
          <w:rFonts w:eastAsia="Arial Unicode MS" w:cstheme="minorHAnsi"/>
          <w:b/>
          <w:sz w:val="18"/>
          <w:szCs w:val="18"/>
        </w:rPr>
        <w:tab/>
        <w:t>s/d                                                                             s/d</w:t>
      </w:r>
    </w:p>
    <w:p w:rsidR="0029624A" w:rsidRPr="00706F9E" w:rsidRDefault="0029624A" w:rsidP="001D24A9">
      <w:pPr>
        <w:spacing w:after="0" w:line="240" w:lineRule="auto"/>
        <w:ind w:right="4"/>
        <w:jc w:val="both"/>
        <w:rPr>
          <w:rFonts w:eastAsia="Times New Roman" w:cstheme="minorHAnsi"/>
          <w:b/>
          <w:sz w:val="18"/>
          <w:szCs w:val="18"/>
        </w:rPr>
      </w:pPr>
      <w:r w:rsidRPr="00706F9E">
        <w:rPr>
          <w:rFonts w:eastAsia="Arial Unicode MS" w:cstheme="minorHAnsi"/>
          <w:b/>
          <w:sz w:val="18"/>
          <w:szCs w:val="18"/>
        </w:rPr>
        <w:t>Date: September 23, 2019</w:t>
      </w:r>
      <w:r w:rsidRPr="00706F9E">
        <w:rPr>
          <w:rFonts w:eastAsia="Arial Unicode MS" w:cstheme="minorHAnsi"/>
          <w:b/>
          <w:sz w:val="18"/>
          <w:szCs w:val="18"/>
        </w:rPr>
        <w:tab/>
      </w:r>
      <w:r w:rsidRPr="00706F9E">
        <w:rPr>
          <w:rFonts w:eastAsia="Arial Unicode MS" w:cstheme="minorHAnsi"/>
          <w:b/>
          <w:sz w:val="18"/>
          <w:szCs w:val="18"/>
        </w:rPr>
        <w:tab/>
      </w:r>
      <w:r w:rsidRPr="00706F9E">
        <w:rPr>
          <w:rFonts w:eastAsia="Arial Unicode MS" w:cstheme="minorHAnsi"/>
          <w:b/>
          <w:bCs/>
          <w:sz w:val="18"/>
          <w:szCs w:val="18"/>
        </w:rPr>
        <w:tab/>
        <w:t xml:space="preserve">                                        </w:t>
      </w:r>
      <w:r w:rsidR="007B639E" w:rsidRPr="00706F9E">
        <w:rPr>
          <w:rFonts w:eastAsia="Arial Unicode MS" w:cstheme="minorHAnsi"/>
          <w:b/>
          <w:bCs/>
          <w:sz w:val="18"/>
          <w:szCs w:val="18"/>
        </w:rPr>
        <w:t xml:space="preserve">   </w:t>
      </w:r>
      <w:r w:rsidR="00706F9E">
        <w:rPr>
          <w:rFonts w:eastAsia="Arial Unicode MS" w:cstheme="minorHAnsi"/>
          <w:b/>
          <w:bCs/>
          <w:sz w:val="18"/>
          <w:szCs w:val="18"/>
        </w:rPr>
        <w:t xml:space="preserve">      </w:t>
      </w:r>
      <w:r w:rsidRPr="00706F9E">
        <w:rPr>
          <w:rFonts w:cstheme="minorHAnsi"/>
          <w:b/>
          <w:color w:val="1B1A17"/>
          <w:sz w:val="18"/>
          <w:szCs w:val="18"/>
        </w:rPr>
        <w:t xml:space="preserve">Devrath Bake Bihari Choursiya              </w:t>
      </w:r>
      <w:r w:rsidR="00F71107">
        <w:rPr>
          <w:rFonts w:cstheme="minorHAnsi"/>
          <w:b/>
          <w:color w:val="1B1A17"/>
          <w:sz w:val="18"/>
          <w:szCs w:val="18"/>
        </w:rPr>
        <w:t xml:space="preserve">          </w:t>
      </w:r>
      <w:r w:rsidRPr="00706F9E">
        <w:rPr>
          <w:rFonts w:eastAsia="Times New Roman" w:cstheme="minorHAnsi"/>
          <w:b/>
          <w:sz w:val="18"/>
          <w:szCs w:val="18"/>
        </w:rPr>
        <w:t>Sagar Choursiya</w:t>
      </w:r>
    </w:p>
    <w:p w:rsidR="0029624A" w:rsidRPr="00706F9E" w:rsidRDefault="0029624A" w:rsidP="001D24A9">
      <w:pPr>
        <w:spacing w:after="0" w:line="240" w:lineRule="auto"/>
        <w:ind w:right="4"/>
        <w:jc w:val="both"/>
        <w:rPr>
          <w:rFonts w:cstheme="minorHAnsi"/>
          <w:b/>
          <w:sz w:val="18"/>
          <w:szCs w:val="18"/>
        </w:rPr>
      </w:pPr>
      <w:r w:rsidRPr="00706F9E">
        <w:rPr>
          <w:rFonts w:eastAsia="Arial Unicode MS" w:cstheme="minorHAnsi"/>
          <w:b/>
          <w:sz w:val="18"/>
          <w:szCs w:val="18"/>
        </w:rPr>
        <w:t>Place: Mumbai</w:t>
      </w:r>
      <w:r w:rsidRPr="00706F9E">
        <w:rPr>
          <w:rFonts w:eastAsia="Arial Unicode MS" w:cstheme="minorHAnsi"/>
          <w:b/>
          <w:sz w:val="18"/>
          <w:szCs w:val="18"/>
        </w:rPr>
        <w:tab/>
      </w:r>
      <w:r w:rsidRPr="00706F9E">
        <w:rPr>
          <w:rFonts w:cstheme="minorHAnsi"/>
          <w:b/>
          <w:sz w:val="18"/>
          <w:szCs w:val="18"/>
        </w:rPr>
        <w:tab/>
      </w:r>
      <w:r w:rsidRPr="00706F9E">
        <w:rPr>
          <w:rFonts w:cstheme="minorHAnsi"/>
          <w:b/>
          <w:sz w:val="18"/>
          <w:szCs w:val="18"/>
        </w:rPr>
        <w:tab/>
      </w:r>
      <w:r w:rsidRPr="00706F9E">
        <w:rPr>
          <w:rFonts w:cstheme="minorHAnsi"/>
          <w:b/>
          <w:sz w:val="18"/>
          <w:szCs w:val="18"/>
        </w:rPr>
        <w:tab/>
        <w:t xml:space="preserve">                                           </w:t>
      </w:r>
      <w:r w:rsidR="007B639E" w:rsidRPr="00706F9E">
        <w:rPr>
          <w:rFonts w:cstheme="minorHAnsi"/>
          <w:b/>
          <w:sz w:val="18"/>
          <w:szCs w:val="18"/>
        </w:rPr>
        <w:t xml:space="preserve"> </w:t>
      </w:r>
      <w:r w:rsidR="00706F9E">
        <w:rPr>
          <w:rFonts w:cstheme="minorHAnsi"/>
          <w:b/>
          <w:sz w:val="18"/>
          <w:szCs w:val="18"/>
        </w:rPr>
        <w:t xml:space="preserve">     </w:t>
      </w:r>
      <w:r w:rsidRPr="00706F9E">
        <w:rPr>
          <w:rFonts w:cstheme="minorHAnsi"/>
          <w:b/>
          <w:bCs/>
          <w:color w:val="222222"/>
          <w:sz w:val="18"/>
          <w:szCs w:val="18"/>
          <w:bdr w:val="none" w:sz="0" w:space="0" w:color="auto" w:frame="1"/>
        </w:rPr>
        <w:t>Director</w:t>
      </w:r>
      <w:r w:rsidRPr="00706F9E">
        <w:rPr>
          <w:rFonts w:cstheme="minorHAnsi"/>
          <w:b/>
          <w:bCs/>
          <w:color w:val="222222"/>
          <w:sz w:val="18"/>
          <w:szCs w:val="18"/>
          <w:bdr w:val="none" w:sz="0" w:space="0" w:color="auto" w:frame="1"/>
        </w:rPr>
        <w:tab/>
      </w:r>
      <w:r w:rsidRPr="00706F9E">
        <w:rPr>
          <w:rFonts w:cstheme="minorHAnsi"/>
          <w:b/>
          <w:bCs/>
          <w:color w:val="222222"/>
          <w:sz w:val="18"/>
          <w:szCs w:val="18"/>
          <w:bdr w:val="none" w:sz="0" w:space="0" w:color="auto" w:frame="1"/>
        </w:rPr>
        <w:tab/>
        <w:t xml:space="preserve">        </w:t>
      </w:r>
      <w:r w:rsidR="007B639E" w:rsidRPr="00706F9E">
        <w:rPr>
          <w:rFonts w:cstheme="minorHAnsi"/>
          <w:b/>
          <w:bCs/>
          <w:color w:val="222222"/>
          <w:sz w:val="18"/>
          <w:szCs w:val="18"/>
          <w:bdr w:val="none" w:sz="0" w:space="0" w:color="auto" w:frame="1"/>
        </w:rPr>
        <w:t xml:space="preserve">                  </w:t>
      </w:r>
      <w:r w:rsidR="00706F9E">
        <w:rPr>
          <w:rFonts w:cstheme="minorHAnsi"/>
          <w:b/>
          <w:bCs/>
          <w:color w:val="222222"/>
          <w:sz w:val="18"/>
          <w:szCs w:val="18"/>
          <w:bdr w:val="none" w:sz="0" w:space="0" w:color="auto" w:frame="1"/>
        </w:rPr>
        <w:t xml:space="preserve">     </w:t>
      </w:r>
      <w:r w:rsidR="00F71107">
        <w:rPr>
          <w:rFonts w:cstheme="minorHAnsi"/>
          <w:b/>
          <w:bCs/>
          <w:color w:val="222222"/>
          <w:sz w:val="18"/>
          <w:szCs w:val="18"/>
          <w:bdr w:val="none" w:sz="0" w:space="0" w:color="auto" w:frame="1"/>
        </w:rPr>
        <w:tab/>
        <w:t xml:space="preserve">     </w:t>
      </w:r>
      <w:r w:rsidRPr="00706F9E">
        <w:rPr>
          <w:rFonts w:cstheme="minorHAnsi"/>
          <w:b/>
          <w:bCs/>
          <w:color w:val="222222"/>
          <w:sz w:val="18"/>
          <w:szCs w:val="18"/>
          <w:bdr w:val="none" w:sz="0" w:space="0" w:color="auto" w:frame="1"/>
        </w:rPr>
        <w:t>Director</w:t>
      </w:r>
    </w:p>
    <w:p w:rsidR="0029624A" w:rsidRPr="00834AF4" w:rsidRDefault="0029624A" w:rsidP="001D24A9">
      <w:pPr>
        <w:spacing w:after="0" w:line="240" w:lineRule="auto"/>
        <w:ind w:right="4"/>
        <w:jc w:val="both"/>
        <w:rPr>
          <w:rFonts w:cstheme="minorHAnsi"/>
          <w:sz w:val="18"/>
          <w:szCs w:val="18"/>
        </w:rPr>
      </w:pPr>
      <w:r w:rsidRPr="00706F9E">
        <w:rPr>
          <w:rFonts w:cstheme="minorHAnsi"/>
          <w:bCs/>
          <w:color w:val="222222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  </w:t>
      </w:r>
      <w:r w:rsidR="00706F9E">
        <w:rPr>
          <w:rFonts w:cstheme="minorHAnsi"/>
          <w:bCs/>
          <w:color w:val="222222"/>
          <w:sz w:val="18"/>
          <w:szCs w:val="18"/>
          <w:bdr w:val="none" w:sz="0" w:space="0" w:color="auto" w:frame="1"/>
        </w:rPr>
        <w:t xml:space="preserve">     </w:t>
      </w:r>
      <w:r w:rsidRPr="00706F9E">
        <w:rPr>
          <w:rFonts w:cstheme="minorHAnsi"/>
          <w:bCs/>
          <w:color w:val="222222"/>
          <w:sz w:val="18"/>
          <w:szCs w:val="18"/>
          <w:bdr w:val="none" w:sz="0" w:space="0" w:color="auto" w:frame="1"/>
        </w:rPr>
        <w:t xml:space="preserve">DIN: </w:t>
      </w:r>
      <w:r w:rsidRPr="00706F9E">
        <w:rPr>
          <w:rFonts w:cstheme="minorHAnsi"/>
          <w:color w:val="1B1A17"/>
          <w:sz w:val="18"/>
          <w:szCs w:val="18"/>
        </w:rPr>
        <w:t>06763440</w:t>
      </w:r>
      <w:r w:rsidRPr="00706F9E">
        <w:rPr>
          <w:rFonts w:cstheme="minorHAnsi"/>
          <w:bCs/>
          <w:color w:val="222222"/>
          <w:sz w:val="18"/>
          <w:szCs w:val="18"/>
          <w:bdr w:val="none" w:sz="0" w:space="0" w:color="auto" w:frame="1"/>
        </w:rPr>
        <w:tab/>
        <w:t xml:space="preserve">                         </w:t>
      </w:r>
      <w:r w:rsidR="007B639E" w:rsidRPr="00706F9E">
        <w:rPr>
          <w:rFonts w:cstheme="minorHAnsi"/>
          <w:bCs/>
          <w:color w:val="222222"/>
          <w:sz w:val="18"/>
          <w:szCs w:val="18"/>
          <w:bdr w:val="none" w:sz="0" w:space="0" w:color="auto" w:frame="1"/>
        </w:rPr>
        <w:t xml:space="preserve"> </w:t>
      </w:r>
      <w:r w:rsidR="00706F9E">
        <w:rPr>
          <w:rFonts w:cstheme="minorHAnsi"/>
          <w:bCs/>
          <w:color w:val="222222"/>
          <w:sz w:val="18"/>
          <w:szCs w:val="18"/>
          <w:bdr w:val="none" w:sz="0" w:space="0" w:color="auto" w:frame="1"/>
        </w:rPr>
        <w:t xml:space="preserve">     </w:t>
      </w:r>
      <w:r w:rsidR="00F71107">
        <w:rPr>
          <w:rFonts w:cstheme="minorHAnsi"/>
          <w:bCs/>
          <w:color w:val="222222"/>
          <w:sz w:val="18"/>
          <w:szCs w:val="18"/>
          <w:bdr w:val="none" w:sz="0" w:space="0" w:color="auto" w:frame="1"/>
        </w:rPr>
        <w:t xml:space="preserve">         </w:t>
      </w:r>
      <w:r w:rsidRPr="00706F9E">
        <w:rPr>
          <w:rFonts w:cstheme="minorHAnsi"/>
          <w:bCs/>
          <w:color w:val="222222"/>
          <w:sz w:val="18"/>
          <w:szCs w:val="18"/>
          <w:bdr w:val="none" w:sz="0" w:space="0" w:color="auto" w:frame="1"/>
        </w:rPr>
        <w:t xml:space="preserve">DIN: </w:t>
      </w:r>
      <w:r w:rsidRPr="00706F9E">
        <w:rPr>
          <w:rFonts w:eastAsia="Times New Roman" w:cstheme="minorHAnsi"/>
          <w:bCs/>
          <w:sz w:val="18"/>
          <w:szCs w:val="18"/>
        </w:rPr>
        <w:t>06763434</w:t>
      </w:r>
    </w:p>
    <w:p w:rsidR="003824D4" w:rsidRPr="00B07221" w:rsidRDefault="003824D4" w:rsidP="0029624A">
      <w:pPr>
        <w:spacing w:after="0" w:line="240" w:lineRule="auto"/>
        <w:ind w:left="4320" w:firstLine="720"/>
        <w:jc w:val="both"/>
        <w:rPr>
          <w:rFonts w:cstheme="minorHAnsi"/>
          <w:sz w:val="18"/>
          <w:szCs w:val="18"/>
        </w:rPr>
      </w:pPr>
    </w:p>
    <w:sectPr w:rsidR="003824D4" w:rsidRPr="00B07221" w:rsidSect="00F8440B">
      <w:pgSz w:w="12240" w:h="15840"/>
      <w:pgMar w:top="568" w:right="1080" w:bottom="568" w:left="1080" w:header="43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27F" w:rsidRDefault="0038527F" w:rsidP="00EB34F0">
      <w:pPr>
        <w:spacing w:after="0" w:line="240" w:lineRule="auto"/>
      </w:pPr>
      <w:r>
        <w:separator/>
      </w:r>
    </w:p>
  </w:endnote>
  <w:endnote w:type="continuationSeparator" w:id="1">
    <w:p w:rsidR="0038527F" w:rsidRDefault="0038527F" w:rsidP="00EB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27F" w:rsidRDefault="0038527F" w:rsidP="00EB34F0">
      <w:pPr>
        <w:spacing w:after="0" w:line="240" w:lineRule="auto"/>
      </w:pPr>
      <w:r>
        <w:separator/>
      </w:r>
    </w:p>
  </w:footnote>
  <w:footnote w:type="continuationSeparator" w:id="1">
    <w:p w:rsidR="0038527F" w:rsidRDefault="0038527F" w:rsidP="00EB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5CC"/>
    <w:multiLevelType w:val="hybridMultilevel"/>
    <w:tmpl w:val="60A2B9D6"/>
    <w:lvl w:ilvl="0" w:tplc="BD9A6030">
      <w:start w:val="1"/>
      <w:numFmt w:val="lowerRoman"/>
      <w:lvlText w:val="%1)"/>
      <w:lvlJc w:val="left"/>
      <w:pPr>
        <w:ind w:left="1146" w:hanging="72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E146A5"/>
    <w:multiLevelType w:val="hybridMultilevel"/>
    <w:tmpl w:val="98E2B720"/>
    <w:lvl w:ilvl="0" w:tplc="FE2A38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039A6"/>
    <w:multiLevelType w:val="hybridMultilevel"/>
    <w:tmpl w:val="84843BE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32DCA"/>
    <w:multiLevelType w:val="hybridMultilevel"/>
    <w:tmpl w:val="BC56AADC"/>
    <w:lvl w:ilvl="0" w:tplc="67D6FBF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C5635"/>
    <w:multiLevelType w:val="hybridMultilevel"/>
    <w:tmpl w:val="D7FC7ADC"/>
    <w:lvl w:ilvl="0" w:tplc="D9BCA066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4" w:hanging="360"/>
      </w:pPr>
    </w:lvl>
    <w:lvl w:ilvl="2" w:tplc="4009001B" w:tentative="1">
      <w:start w:val="1"/>
      <w:numFmt w:val="lowerRoman"/>
      <w:lvlText w:val="%3."/>
      <w:lvlJc w:val="right"/>
      <w:pPr>
        <w:ind w:left="2254" w:hanging="180"/>
      </w:pPr>
    </w:lvl>
    <w:lvl w:ilvl="3" w:tplc="4009000F" w:tentative="1">
      <w:start w:val="1"/>
      <w:numFmt w:val="decimal"/>
      <w:lvlText w:val="%4."/>
      <w:lvlJc w:val="left"/>
      <w:pPr>
        <w:ind w:left="2974" w:hanging="360"/>
      </w:pPr>
    </w:lvl>
    <w:lvl w:ilvl="4" w:tplc="40090019" w:tentative="1">
      <w:start w:val="1"/>
      <w:numFmt w:val="lowerLetter"/>
      <w:lvlText w:val="%5."/>
      <w:lvlJc w:val="left"/>
      <w:pPr>
        <w:ind w:left="3694" w:hanging="360"/>
      </w:pPr>
    </w:lvl>
    <w:lvl w:ilvl="5" w:tplc="4009001B" w:tentative="1">
      <w:start w:val="1"/>
      <w:numFmt w:val="lowerRoman"/>
      <w:lvlText w:val="%6."/>
      <w:lvlJc w:val="right"/>
      <w:pPr>
        <w:ind w:left="4414" w:hanging="180"/>
      </w:pPr>
    </w:lvl>
    <w:lvl w:ilvl="6" w:tplc="4009000F" w:tentative="1">
      <w:start w:val="1"/>
      <w:numFmt w:val="decimal"/>
      <w:lvlText w:val="%7."/>
      <w:lvlJc w:val="left"/>
      <w:pPr>
        <w:ind w:left="5134" w:hanging="360"/>
      </w:pPr>
    </w:lvl>
    <w:lvl w:ilvl="7" w:tplc="40090019" w:tentative="1">
      <w:start w:val="1"/>
      <w:numFmt w:val="lowerLetter"/>
      <w:lvlText w:val="%8."/>
      <w:lvlJc w:val="left"/>
      <w:pPr>
        <w:ind w:left="5854" w:hanging="360"/>
      </w:pPr>
    </w:lvl>
    <w:lvl w:ilvl="8" w:tplc="40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41B92831"/>
    <w:multiLevelType w:val="hybridMultilevel"/>
    <w:tmpl w:val="1FEAD93A"/>
    <w:lvl w:ilvl="0" w:tplc="67940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8BE"/>
    <w:multiLevelType w:val="hybridMultilevel"/>
    <w:tmpl w:val="6BCAA776"/>
    <w:lvl w:ilvl="0" w:tplc="BD26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C4198D"/>
    <w:multiLevelType w:val="hybridMultilevel"/>
    <w:tmpl w:val="CFEE8D46"/>
    <w:lvl w:ilvl="0" w:tplc="4E7C4EE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A75AC"/>
    <w:multiLevelType w:val="hybridMultilevel"/>
    <w:tmpl w:val="1550FD6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DB2"/>
    <w:rsid w:val="00006B79"/>
    <w:rsid w:val="00012B41"/>
    <w:rsid w:val="00016E33"/>
    <w:rsid w:val="00030882"/>
    <w:rsid w:val="00033B44"/>
    <w:rsid w:val="00047CB5"/>
    <w:rsid w:val="00055329"/>
    <w:rsid w:val="0007078B"/>
    <w:rsid w:val="00081AA4"/>
    <w:rsid w:val="00092050"/>
    <w:rsid w:val="000955B4"/>
    <w:rsid w:val="000A04D1"/>
    <w:rsid w:val="000A242D"/>
    <w:rsid w:val="000A5BBF"/>
    <w:rsid w:val="000B6404"/>
    <w:rsid w:val="000C0303"/>
    <w:rsid w:val="000C4A21"/>
    <w:rsid w:val="000D5FAB"/>
    <w:rsid w:val="000E14E8"/>
    <w:rsid w:val="000E24FF"/>
    <w:rsid w:val="000F2B98"/>
    <w:rsid w:val="000F41B4"/>
    <w:rsid w:val="000F4EF7"/>
    <w:rsid w:val="000F5F48"/>
    <w:rsid w:val="000F7C5A"/>
    <w:rsid w:val="00102B31"/>
    <w:rsid w:val="001238C9"/>
    <w:rsid w:val="0012439B"/>
    <w:rsid w:val="0013415F"/>
    <w:rsid w:val="00147399"/>
    <w:rsid w:val="00147DDB"/>
    <w:rsid w:val="00152E5C"/>
    <w:rsid w:val="00157229"/>
    <w:rsid w:val="00165524"/>
    <w:rsid w:val="00165660"/>
    <w:rsid w:val="00167488"/>
    <w:rsid w:val="001732C3"/>
    <w:rsid w:val="00181FAF"/>
    <w:rsid w:val="00187683"/>
    <w:rsid w:val="00187E0F"/>
    <w:rsid w:val="001931F8"/>
    <w:rsid w:val="0019482F"/>
    <w:rsid w:val="001A1C01"/>
    <w:rsid w:val="001B222C"/>
    <w:rsid w:val="001B319B"/>
    <w:rsid w:val="001C108C"/>
    <w:rsid w:val="001C22EE"/>
    <w:rsid w:val="001C6ED6"/>
    <w:rsid w:val="001C77CC"/>
    <w:rsid w:val="001D0668"/>
    <w:rsid w:val="001D24A9"/>
    <w:rsid w:val="001D4140"/>
    <w:rsid w:val="001E1778"/>
    <w:rsid w:val="001E1E6F"/>
    <w:rsid w:val="001E6391"/>
    <w:rsid w:val="001F04D6"/>
    <w:rsid w:val="001F098D"/>
    <w:rsid w:val="001F3DB7"/>
    <w:rsid w:val="00210FFF"/>
    <w:rsid w:val="00221470"/>
    <w:rsid w:val="002410B9"/>
    <w:rsid w:val="002423C1"/>
    <w:rsid w:val="00246097"/>
    <w:rsid w:val="00252EDA"/>
    <w:rsid w:val="0029624A"/>
    <w:rsid w:val="002A3044"/>
    <w:rsid w:val="002A5A8F"/>
    <w:rsid w:val="002A7495"/>
    <w:rsid w:val="002C03AF"/>
    <w:rsid w:val="002C0A84"/>
    <w:rsid w:val="002D15AD"/>
    <w:rsid w:val="002E43D8"/>
    <w:rsid w:val="002F1398"/>
    <w:rsid w:val="003027FC"/>
    <w:rsid w:val="00305E1F"/>
    <w:rsid w:val="003136AB"/>
    <w:rsid w:val="00320350"/>
    <w:rsid w:val="00320E4A"/>
    <w:rsid w:val="0032411A"/>
    <w:rsid w:val="00331E12"/>
    <w:rsid w:val="003359A2"/>
    <w:rsid w:val="00341B88"/>
    <w:rsid w:val="0035012E"/>
    <w:rsid w:val="003561CD"/>
    <w:rsid w:val="00361632"/>
    <w:rsid w:val="0036542A"/>
    <w:rsid w:val="003657F1"/>
    <w:rsid w:val="00370B3B"/>
    <w:rsid w:val="00372E68"/>
    <w:rsid w:val="003824D4"/>
    <w:rsid w:val="00382F80"/>
    <w:rsid w:val="003836A4"/>
    <w:rsid w:val="0038527F"/>
    <w:rsid w:val="00394464"/>
    <w:rsid w:val="00397AB6"/>
    <w:rsid w:val="003B32EC"/>
    <w:rsid w:val="003C457C"/>
    <w:rsid w:val="003C6041"/>
    <w:rsid w:val="003E1F05"/>
    <w:rsid w:val="003F07DC"/>
    <w:rsid w:val="003F7A79"/>
    <w:rsid w:val="004022EE"/>
    <w:rsid w:val="00404611"/>
    <w:rsid w:val="00407104"/>
    <w:rsid w:val="00407551"/>
    <w:rsid w:val="0042117E"/>
    <w:rsid w:val="00421DF4"/>
    <w:rsid w:val="00431E3D"/>
    <w:rsid w:val="00435BEF"/>
    <w:rsid w:val="004441AC"/>
    <w:rsid w:val="00445F3B"/>
    <w:rsid w:val="0044752B"/>
    <w:rsid w:val="00453729"/>
    <w:rsid w:val="00455D02"/>
    <w:rsid w:val="0046620D"/>
    <w:rsid w:val="0046715D"/>
    <w:rsid w:val="0046739D"/>
    <w:rsid w:val="00476F81"/>
    <w:rsid w:val="00487D90"/>
    <w:rsid w:val="004928F9"/>
    <w:rsid w:val="00496F43"/>
    <w:rsid w:val="004A3850"/>
    <w:rsid w:val="004A7AFA"/>
    <w:rsid w:val="004C1563"/>
    <w:rsid w:val="004C6773"/>
    <w:rsid w:val="004D0667"/>
    <w:rsid w:val="004E6F74"/>
    <w:rsid w:val="004F7D6E"/>
    <w:rsid w:val="0050176E"/>
    <w:rsid w:val="00501DB2"/>
    <w:rsid w:val="00502540"/>
    <w:rsid w:val="005351F3"/>
    <w:rsid w:val="005354FF"/>
    <w:rsid w:val="0053639F"/>
    <w:rsid w:val="00543212"/>
    <w:rsid w:val="00543D68"/>
    <w:rsid w:val="005543BA"/>
    <w:rsid w:val="00557D4D"/>
    <w:rsid w:val="00566E5F"/>
    <w:rsid w:val="00570B01"/>
    <w:rsid w:val="00574F22"/>
    <w:rsid w:val="00581DCE"/>
    <w:rsid w:val="00584626"/>
    <w:rsid w:val="005852BE"/>
    <w:rsid w:val="00585D41"/>
    <w:rsid w:val="005902FB"/>
    <w:rsid w:val="00594FA4"/>
    <w:rsid w:val="005A20BC"/>
    <w:rsid w:val="005A2ADD"/>
    <w:rsid w:val="005B08F7"/>
    <w:rsid w:val="005B38CF"/>
    <w:rsid w:val="005B75D0"/>
    <w:rsid w:val="005C0089"/>
    <w:rsid w:val="005C2343"/>
    <w:rsid w:val="005D02AD"/>
    <w:rsid w:val="005E1B7A"/>
    <w:rsid w:val="005E7AA3"/>
    <w:rsid w:val="005F5950"/>
    <w:rsid w:val="0061276F"/>
    <w:rsid w:val="00620A35"/>
    <w:rsid w:val="00625F4B"/>
    <w:rsid w:val="00626E6D"/>
    <w:rsid w:val="006276C9"/>
    <w:rsid w:val="006312BE"/>
    <w:rsid w:val="006413D1"/>
    <w:rsid w:val="0064210F"/>
    <w:rsid w:val="00647A74"/>
    <w:rsid w:val="00647DF4"/>
    <w:rsid w:val="00651A12"/>
    <w:rsid w:val="00656E65"/>
    <w:rsid w:val="00676F67"/>
    <w:rsid w:val="00683224"/>
    <w:rsid w:val="0069120A"/>
    <w:rsid w:val="0069622C"/>
    <w:rsid w:val="006A0423"/>
    <w:rsid w:val="006A3567"/>
    <w:rsid w:val="006A4439"/>
    <w:rsid w:val="006A7734"/>
    <w:rsid w:val="006B371E"/>
    <w:rsid w:val="006E4AA3"/>
    <w:rsid w:val="006F503A"/>
    <w:rsid w:val="006F76E5"/>
    <w:rsid w:val="007005F9"/>
    <w:rsid w:val="00706B70"/>
    <w:rsid w:val="00706F9E"/>
    <w:rsid w:val="00724076"/>
    <w:rsid w:val="00727E43"/>
    <w:rsid w:val="00731B05"/>
    <w:rsid w:val="0073224F"/>
    <w:rsid w:val="00743677"/>
    <w:rsid w:val="00750102"/>
    <w:rsid w:val="00754B50"/>
    <w:rsid w:val="0078270D"/>
    <w:rsid w:val="00783548"/>
    <w:rsid w:val="0078761D"/>
    <w:rsid w:val="00795730"/>
    <w:rsid w:val="007A6E82"/>
    <w:rsid w:val="007B5AD5"/>
    <w:rsid w:val="007B639E"/>
    <w:rsid w:val="007C1C94"/>
    <w:rsid w:val="007C313E"/>
    <w:rsid w:val="007C42CD"/>
    <w:rsid w:val="007D25BE"/>
    <w:rsid w:val="007E52F4"/>
    <w:rsid w:val="007F1DB1"/>
    <w:rsid w:val="007F20FE"/>
    <w:rsid w:val="007F2B7D"/>
    <w:rsid w:val="007F555E"/>
    <w:rsid w:val="008022B9"/>
    <w:rsid w:val="00803EAA"/>
    <w:rsid w:val="00813F55"/>
    <w:rsid w:val="0083187A"/>
    <w:rsid w:val="00834AF4"/>
    <w:rsid w:val="00845F10"/>
    <w:rsid w:val="00850382"/>
    <w:rsid w:val="0085342D"/>
    <w:rsid w:val="008638A8"/>
    <w:rsid w:val="00871230"/>
    <w:rsid w:val="0087146A"/>
    <w:rsid w:val="008820D0"/>
    <w:rsid w:val="00882971"/>
    <w:rsid w:val="008863A0"/>
    <w:rsid w:val="008929C0"/>
    <w:rsid w:val="008956EC"/>
    <w:rsid w:val="008A5F7C"/>
    <w:rsid w:val="008B1412"/>
    <w:rsid w:val="008C6016"/>
    <w:rsid w:val="008E1534"/>
    <w:rsid w:val="008E3C06"/>
    <w:rsid w:val="008F7599"/>
    <w:rsid w:val="00912496"/>
    <w:rsid w:val="00914B95"/>
    <w:rsid w:val="009179B2"/>
    <w:rsid w:val="00921D5C"/>
    <w:rsid w:val="009304B2"/>
    <w:rsid w:val="00930C12"/>
    <w:rsid w:val="00935A69"/>
    <w:rsid w:val="00941EE0"/>
    <w:rsid w:val="0094417B"/>
    <w:rsid w:val="00947297"/>
    <w:rsid w:val="009552DA"/>
    <w:rsid w:val="0095636D"/>
    <w:rsid w:val="00964062"/>
    <w:rsid w:val="009647B5"/>
    <w:rsid w:val="00967953"/>
    <w:rsid w:val="00977899"/>
    <w:rsid w:val="00980829"/>
    <w:rsid w:val="0098260E"/>
    <w:rsid w:val="00984791"/>
    <w:rsid w:val="0099606F"/>
    <w:rsid w:val="009A27E1"/>
    <w:rsid w:val="009B4217"/>
    <w:rsid w:val="009B4722"/>
    <w:rsid w:val="009B5799"/>
    <w:rsid w:val="009C6C83"/>
    <w:rsid w:val="009D1122"/>
    <w:rsid w:val="009E419A"/>
    <w:rsid w:val="009F5F5D"/>
    <w:rsid w:val="00A023D6"/>
    <w:rsid w:val="00A0363E"/>
    <w:rsid w:val="00A1157F"/>
    <w:rsid w:val="00A14529"/>
    <w:rsid w:val="00A37D47"/>
    <w:rsid w:val="00A4235F"/>
    <w:rsid w:val="00A62AED"/>
    <w:rsid w:val="00A632AF"/>
    <w:rsid w:val="00A7256C"/>
    <w:rsid w:val="00A72E4A"/>
    <w:rsid w:val="00A76346"/>
    <w:rsid w:val="00A77B96"/>
    <w:rsid w:val="00A83534"/>
    <w:rsid w:val="00A85DA4"/>
    <w:rsid w:val="00A92F09"/>
    <w:rsid w:val="00A93BDA"/>
    <w:rsid w:val="00AA0089"/>
    <w:rsid w:val="00AA4264"/>
    <w:rsid w:val="00AE722C"/>
    <w:rsid w:val="00AF5642"/>
    <w:rsid w:val="00AF5DA5"/>
    <w:rsid w:val="00B03022"/>
    <w:rsid w:val="00B06C31"/>
    <w:rsid w:val="00B07221"/>
    <w:rsid w:val="00B11E92"/>
    <w:rsid w:val="00B14D13"/>
    <w:rsid w:val="00B3608B"/>
    <w:rsid w:val="00B36B02"/>
    <w:rsid w:val="00B4763A"/>
    <w:rsid w:val="00B56753"/>
    <w:rsid w:val="00B6252D"/>
    <w:rsid w:val="00B672BC"/>
    <w:rsid w:val="00B74323"/>
    <w:rsid w:val="00B773C9"/>
    <w:rsid w:val="00B81AF2"/>
    <w:rsid w:val="00B93D86"/>
    <w:rsid w:val="00B96195"/>
    <w:rsid w:val="00B97A15"/>
    <w:rsid w:val="00BB0ED2"/>
    <w:rsid w:val="00BB3462"/>
    <w:rsid w:val="00BB3C94"/>
    <w:rsid w:val="00BC485C"/>
    <w:rsid w:val="00BD0259"/>
    <w:rsid w:val="00BE5AFA"/>
    <w:rsid w:val="00BE67E3"/>
    <w:rsid w:val="00BF2BD5"/>
    <w:rsid w:val="00BF3D88"/>
    <w:rsid w:val="00BF57D5"/>
    <w:rsid w:val="00C01C28"/>
    <w:rsid w:val="00C14815"/>
    <w:rsid w:val="00C14B5E"/>
    <w:rsid w:val="00C17511"/>
    <w:rsid w:val="00C26EC4"/>
    <w:rsid w:val="00C35AFE"/>
    <w:rsid w:val="00C36E23"/>
    <w:rsid w:val="00C44AFC"/>
    <w:rsid w:val="00C45055"/>
    <w:rsid w:val="00C56354"/>
    <w:rsid w:val="00C642EE"/>
    <w:rsid w:val="00C72439"/>
    <w:rsid w:val="00C7421C"/>
    <w:rsid w:val="00C76128"/>
    <w:rsid w:val="00C8524B"/>
    <w:rsid w:val="00C868CE"/>
    <w:rsid w:val="00C868F0"/>
    <w:rsid w:val="00C93CDF"/>
    <w:rsid w:val="00CA03E8"/>
    <w:rsid w:val="00CA5517"/>
    <w:rsid w:val="00CB4AFF"/>
    <w:rsid w:val="00CB7929"/>
    <w:rsid w:val="00CD4085"/>
    <w:rsid w:val="00CD7F6C"/>
    <w:rsid w:val="00CF4834"/>
    <w:rsid w:val="00D068E9"/>
    <w:rsid w:val="00D13671"/>
    <w:rsid w:val="00D300A8"/>
    <w:rsid w:val="00D37B59"/>
    <w:rsid w:val="00D37E0B"/>
    <w:rsid w:val="00D41DA9"/>
    <w:rsid w:val="00D5622A"/>
    <w:rsid w:val="00D6450D"/>
    <w:rsid w:val="00D7218B"/>
    <w:rsid w:val="00D7759A"/>
    <w:rsid w:val="00D778F4"/>
    <w:rsid w:val="00D84CF6"/>
    <w:rsid w:val="00D86919"/>
    <w:rsid w:val="00D9433E"/>
    <w:rsid w:val="00DA15E2"/>
    <w:rsid w:val="00DA7AB0"/>
    <w:rsid w:val="00DB22EB"/>
    <w:rsid w:val="00DB3EB4"/>
    <w:rsid w:val="00DB6814"/>
    <w:rsid w:val="00DC39DD"/>
    <w:rsid w:val="00DF4E23"/>
    <w:rsid w:val="00E05FC2"/>
    <w:rsid w:val="00E351E4"/>
    <w:rsid w:val="00E35658"/>
    <w:rsid w:val="00E40A9D"/>
    <w:rsid w:val="00E5146D"/>
    <w:rsid w:val="00E573A7"/>
    <w:rsid w:val="00E6040C"/>
    <w:rsid w:val="00E67737"/>
    <w:rsid w:val="00E76BBD"/>
    <w:rsid w:val="00E82F5F"/>
    <w:rsid w:val="00E900BB"/>
    <w:rsid w:val="00E97140"/>
    <w:rsid w:val="00EB217D"/>
    <w:rsid w:val="00EB34F0"/>
    <w:rsid w:val="00EB60EE"/>
    <w:rsid w:val="00EC38BD"/>
    <w:rsid w:val="00EC698D"/>
    <w:rsid w:val="00ED01EE"/>
    <w:rsid w:val="00ED75D7"/>
    <w:rsid w:val="00EF0DF1"/>
    <w:rsid w:val="00EF41B5"/>
    <w:rsid w:val="00EF4BD0"/>
    <w:rsid w:val="00F00F23"/>
    <w:rsid w:val="00F05262"/>
    <w:rsid w:val="00F119BB"/>
    <w:rsid w:val="00F166E9"/>
    <w:rsid w:val="00F2380D"/>
    <w:rsid w:val="00F27CF4"/>
    <w:rsid w:val="00F624DF"/>
    <w:rsid w:val="00F71107"/>
    <w:rsid w:val="00F75E65"/>
    <w:rsid w:val="00F83A74"/>
    <w:rsid w:val="00F8440B"/>
    <w:rsid w:val="00F850D4"/>
    <w:rsid w:val="00F91228"/>
    <w:rsid w:val="00FA3176"/>
    <w:rsid w:val="00FC381E"/>
    <w:rsid w:val="00FC4CC6"/>
    <w:rsid w:val="00FC6EC3"/>
    <w:rsid w:val="00FC7561"/>
    <w:rsid w:val="00FD2C3E"/>
    <w:rsid w:val="00FE2FC3"/>
    <w:rsid w:val="00FE70C2"/>
    <w:rsid w:val="00FF0F9C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01DB2"/>
    <w:rPr>
      <w:b/>
      <w:bCs/>
      <w:spacing w:val="0"/>
    </w:rPr>
  </w:style>
  <w:style w:type="paragraph" w:styleId="BodyText2">
    <w:name w:val="Body Text 2"/>
    <w:basedOn w:val="Normal"/>
    <w:link w:val="BodyText2Char"/>
    <w:uiPriority w:val="99"/>
    <w:unhideWhenUsed/>
    <w:rsid w:val="00501DB2"/>
    <w:pPr>
      <w:spacing w:after="120" w:line="480" w:lineRule="auto"/>
    </w:pPr>
    <w:rPr>
      <w:lang w:val="en-IN"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501DB2"/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501DB2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501D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1DB2"/>
  </w:style>
  <w:style w:type="paragraph" w:styleId="NormalWeb">
    <w:name w:val="Normal (Web)"/>
    <w:basedOn w:val="Normal"/>
    <w:uiPriority w:val="99"/>
    <w:unhideWhenUsed/>
    <w:rsid w:val="00455D0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1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1C28"/>
    <w:rPr>
      <w:rFonts w:ascii="Courier New" w:eastAsia="Times New Roman" w:hAnsi="Courier New" w:cs="Courier New"/>
      <w:sz w:val="20"/>
      <w:szCs w:val="20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A76346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val="en-IN" w:eastAsia="en-IN"/>
    </w:rPr>
  </w:style>
  <w:style w:type="paragraph" w:customStyle="1" w:styleId="05FormNumber">
    <w:name w:val="05 Form Number"/>
    <w:basedOn w:val="TableParagraph"/>
    <w:qFormat/>
    <w:rsid w:val="00A76346"/>
    <w:pPr>
      <w:tabs>
        <w:tab w:val="left" w:pos="4321"/>
      </w:tabs>
      <w:kinsoku w:val="0"/>
      <w:overflowPunct w:val="0"/>
      <w:spacing w:before="40" w:after="40"/>
      <w:jc w:val="center"/>
    </w:pPr>
    <w:rPr>
      <w:rFonts w:ascii="Book Antiqua" w:hAnsi="Book Antiqua" w:cs="Verdana"/>
      <w:b/>
      <w:bCs/>
      <w:sz w:val="20"/>
      <w:szCs w:val="20"/>
    </w:rPr>
  </w:style>
  <w:style w:type="character" w:customStyle="1" w:styleId="06FormNumberforHeader">
    <w:name w:val="06 Form Number for Header"/>
    <w:basedOn w:val="DefaultParagraphFont"/>
    <w:uiPriority w:val="1"/>
    <w:qFormat/>
    <w:rsid w:val="00A76346"/>
  </w:style>
  <w:style w:type="paragraph" w:styleId="Header">
    <w:name w:val="header"/>
    <w:basedOn w:val="Normal"/>
    <w:link w:val="HeaderChar"/>
    <w:uiPriority w:val="99"/>
    <w:unhideWhenUsed/>
    <w:rsid w:val="00EB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F0"/>
  </w:style>
  <w:style w:type="paragraph" w:styleId="Footer">
    <w:name w:val="footer"/>
    <w:basedOn w:val="Normal"/>
    <w:link w:val="FooterChar"/>
    <w:uiPriority w:val="99"/>
    <w:unhideWhenUsed/>
    <w:rsid w:val="00EB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F0"/>
  </w:style>
  <w:style w:type="character" w:styleId="Hyperlink">
    <w:name w:val="Hyperlink"/>
    <w:basedOn w:val="DefaultParagraphFont"/>
    <w:uiPriority w:val="99"/>
    <w:unhideWhenUsed/>
    <w:rsid w:val="009808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D90"/>
    <w:pPr>
      <w:spacing w:after="0" w:line="240" w:lineRule="auto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F844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637F-B757-41B2-8ED7-85149223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Neha Chajjed</cp:lastModifiedBy>
  <cp:revision>3</cp:revision>
  <dcterms:created xsi:type="dcterms:W3CDTF">2020-02-11T10:09:00Z</dcterms:created>
  <dcterms:modified xsi:type="dcterms:W3CDTF">2020-02-11T10:10:00Z</dcterms:modified>
</cp:coreProperties>
</file>